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FC" w:rsidRPr="00F136DE" w:rsidRDefault="005D08FC" w:rsidP="005D08FC">
      <w:pPr>
        <w:spacing w:line="240" w:lineRule="auto"/>
        <w:jc w:val="both"/>
        <w:rPr>
          <w:rFonts w:ascii="Arial" w:hAnsi="Arial" w:cs="Arial"/>
          <w:sz w:val="24"/>
          <w:szCs w:val="24"/>
        </w:rPr>
      </w:pPr>
      <w:r>
        <w:rPr>
          <w:rFonts w:ascii="Arial" w:hAnsi="Arial" w:cs="Arial"/>
          <w:sz w:val="24"/>
          <w:szCs w:val="24"/>
        </w:rPr>
        <w:t>376//28-02-2017</w:t>
      </w:r>
    </w:p>
    <w:p w:rsidR="005D08FC" w:rsidRPr="00F136DE" w:rsidRDefault="005D08FC" w:rsidP="005D08FC">
      <w:pPr>
        <w:spacing w:line="240" w:lineRule="auto"/>
        <w:jc w:val="both"/>
        <w:rPr>
          <w:rFonts w:ascii="Arial" w:hAnsi="Arial" w:cs="Arial"/>
          <w:sz w:val="24"/>
          <w:szCs w:val="24"/>
        </w:rPr>
      </w:pPr>
      <w:r w:rsidRPr="00F136DE">
        <w:rPr>
          <w:rFonts w:ascii="Arial" w:hAnsi="Arial" w:cs="Arial"/>
          <w:sz w:val="24"/>
          <w:szCs w:val="24"/>
        </w:rPr>
        <w:t>Caso Clínico: Miastenia e interacción con otra patología asociada (gota)</w:t>
      </w:r>
    </w:p>
    <w:p w:rsidR="005D08FC" w:rsidRPr="00F136DE" w:rsidRDefault="005D08FC" w:rsidP="005D08FC">
      <w:pPr>
        <w:spacing w:line="240" w:lineRule="auto"/>
        <w:jc w:val="both"/>
        <w:rPr>
          <w:rFonts w:ascii="Arial" w:hAnsi="Arial" w:cs="Arial"/>
          <w:sz w:val="24"/>
          <w:szCs w:val="24"/>
          <w:lang w:val="en-US"/>
        </w:rPr>
      </w:pPr>
      <w:r w:rsidRPr="00F136DE">
        <w:rPr>
          <w:rFonts w:ascii="Arial" w:hAnsi="Arial" w:cs="Arial"/>
          <w:sz w:val="24"/>
          <w:szCs w:val="24"/>
          <w:lang w:val="en-US"/>
        </w:rPr>
        <w:t>Myasthenia and gout interaction: a case</w:t>
      </w:r>
    </w:p>
    <w:p w:rsidR="005D08FC" w:rsidRPr="00F136DE" w:rsidRDefault="005D08FC" w:rsidP="005D08FC">
      <w:pPr>
        <w:spacing w:line="240" w:lineRule="auto"/>
        <w:jc w:val="both"/>
        <w:rPr>
          <w:rFonts w:ascii="Arial" w:hAnsi="Arial" w:cs="Arial"/>
          <w:sz w:val="24"/>
          <w:szCs w:val="24"/>
          <w:lang w:val="en-US"/>
        </w:rPr>
      </w:pPr>
    </w:p>
    <w:p w:rsidR="005D08FC" w:rsidRPr="009F7841" w:rsidRDefault="005D08FC" w:rsidP="005D08FC">
      <w:pPr>
        <w:spacing w:line="240" w:lineRule="auto"/>
        <w:jc w:val="both"/>
        <w:rPr>
          <w:rFonts w:ascii="Arial" w:hAnsi="Arial" w:cs="Arial"/>
          <w:sz w:val="24"/>
          <w:szCs w:val="24"/>
          <w:lang w:val="en-US"/>
        </w:rPr>
      </w:pPr>
    </w:p>
    <w:p w:rsidR="005D08FC" w:rsidRPr="00F136DE" w:rsidRDefault="005D08FC" w:rsidP="005D08FC">
      <w:pPr>
        <w:spacing w:line="240" w:lineRule="auto"/>
        <w:jc w:val="both"/>
        <w:rPr>
          <w:rFonts w:ascii="Arial" w:hAnsi="Arial" w:cs="Arial"/>
          <w:color w:val="FF0000"/>
          <w:sz w:val="24"/>
          <w:szCs w:val="24"/>
        </w:rPr>
      </w:pPr>
      <w:r w:rsidRPr="00F136DE">
        <w:rPr>
          <w:rFonts w:ascii="Arial" w:hAnsi="Arial" w:cs="Arial"/>
          <w:color w:val="FF0000"/>
          <w:sz w:val="24"/>
          <w:szCs w:val="24"/>
        </w:rPr>
        <w:t xml:space="preserve">Términos MESH: Miastenia, </w:t>
      </w:r>
      <w:proofErr w:type="gramStart"/>
      <w:r w:rsidRPr="00F136DE">
        <w:rPr>
          <w:rFonts w:ascii="Arial" w:hAnsi="Arial" w:cs="Arial"/>
          <w:color w:val="FF0000"/>
          <w:sz w:val="24"/>
          <w:szCs w:val="24"/>
        </w:rPr>
        <w:t>gota ,</w:t>
      </w:r>
      <w:proofErr w:type="gramEnd"/>
      <w:r w:rsidRPr="00F136DE">
        <w:rPr>
          <w:rFonts w:ascii="Arial" w:hAnsi="Arial" w:cs="Arial"/>
          <w:color w:val="FF0000"/>
          <w:sz w:val="24"/>
          <w:szCs w:val="24"/>
        </w:rPr>
        <w:t xml:space="preserve"> interacciones</w:t>
      </w:r>
    </w:p>
    <w:p w:rsidR="005D08FC" w:rsidRPr="00F136DE" w:rsidRDefault="005D08FC" w:rsidP="005D08FC">
      <w:pPr>
        <w:spacing w:line="240" w:lineRule="auto"/>
        <w:jc w:val="both"/>
        <w:rPr>
          <w:rFonts w:ascii="Arial" w:hAnsi="Arial" w:cs="Arial"/>
          <w:sz w:val="24"/>
          <w:szCs w:val="24"/>
        </w:rPr>
      </w:pPr>
    </w:p>
    <w:p w:rsidR="005D08FC" w:rsidRPr="00F136DE" w:rsidRDefault="005D08FC" w:rsidP="005D08FC">
      <w:pPr>
        <w:spacing w:line="240" w:lineRule="auto"/>
        <w:jc w:val="both"/>
        <w:rPr>
          <w:rFonts w:ascii="Arial" w:hAnsi="Arial" w:cs="Arial"/>
          <w:sz w:val="24"/>
          <w:szCs w:val="24"/>
        </w:rPr>
      </w:pPr>
      <w:r w:rsidRPr="00F136DE">
        <w:rPr>
          <w:rFonts w:ascii="Arial" w:hAnsi="Arial" w:cs="Arial"/>
          <w:sz w:val="24"/>
          <w:szCs w:val="24"/>
        </w:rPr>
        <w:t>RESUMEN</w:t>
      </w:r>
    </w:p>
    <w:p w:rsidR="005D08FC" w:rsidRPr="00F136DE" w:rsidRDefault="005D08FC" w:rsidP="005D08FC">
      <w:pPr>
        <w:spacing w:line="240" w:lineRule="auto"/>
        <w:jc w:val="both"/>
        <w:rPr>
          <w:rFonts w:ascii="Arial" w:hAnsi="Arial" w:cs="Arial"/>
          <w:sz w:val="24"/>
          <w:szCs w:val="24"/>
        </w:rPr>
      </w:pPr>
      <w:r w:rsidRPr="00F136DE">
        <w:rPr>
          <w:rFonts w:ascii="Arial" w:hAnsi="Arial" w:cs="Arial"/>
          <w:sz w:val="24"/>
          <w:szCs w:val="24"/>
        </w:rPr>
        <w:t xml:space="preserve">La miastenia es un trastorno autoinmune cuyo diagnóstico y tratamiento </w:t>
      </w:r>
      <w:r w:rsidR="00B358A9">
        <w:rPr>
          <w:rFonts w:ascii="Arial" w:hAnsi="Arial" w:cs="Arial"/>
          <w:sz w:val="24"/>
          <w:szCs w:val="24"/>
        </w:rPr>
        <w:t>permite</w:t>
      </w:r>
      <w:r w:rsidRPr="00F136DE">
        <w:rPr>
          <w:rFonts w:ascii="Arial" w:hAnsi="Arial" w:cs="Arial"/>
          <w:sz w:val="24"/>
          <w:szCs w:val="24"/>
        </w:rPr>
        <w:t xml:space="preserve"> que la esperanza de vida de los pacientes no disminuya. En este caso, gracias a la intervención del farmacéutico, se evita la posible interacción entre los fármacos prescritos para un ataque agudo de gota y el tratamiento habitual de la miastenia de un paciente que acude a la farmacia.</w:t>
      </w:r>
    </w:p>
    <w:p w:rsidR="005D08FC" w:rsidRPr="00F136DE" w:rsidRDefault="005D08FC" w:rsidP="005D08FC">
      <w:pPr>
        <w:spacing w:line="240" w:lineRule="auto"/>
        <w:jc w:val="both"/>
        <w:rPr>
          <w:rFonts w:ascii="Arial" w:hAnsi="Arial" w:cs="Arial"/>
          <w:sz w:val="24"/>
          <w:szCs w:val="24"/>
          <w:lang w:val="en-US"/>
        </w:rPr>
      </w:pPr>
      <w:r w:rsidRPr="00F136DE">
        <w:rPr>
          <w:rFonts w:ascii="Arial" w:hAnsi="Arial" w:cs="Arial"/>
          <w:sz w:val="24"/>
          <w:szCs w:val="24"/>
          <w:lang w:val="en-US"/>
        </w:rPr>
        <w:t>ABSTRACT</w:t>
      </w:r>
    </w:p>
    <w:p w:rsidR="005D08FC" w:rsidRPr="00F136DE" w:rsidRDefault="005D08FC" w:rsidP="005D08FC">
      <w:pPr>
        <w:spacing w:line="240" w:lineRule="auto"/>
        <w:jc w:val="both"/>
        <w:rPr>
          <w:rFonts w:ascii="Arial" w:hAnsi="Arial" w:cs="Arial"/>
          <w:sz w:val="24"/>
          <w:szCs w:val="24"/>
          <w:lang w:val="en-US"/>
        </w:rPr>
      </w:pPr>
      <w:r w:rsidRPr="00F136DE">
        <w:rPr>
          <w:rFonts w:ascii="Arial" w:hAnsi="Arial" w:cs="Arial"/>
          <w:sz w:val="24"/>
          <w:szCs w:val="24"/>
          <w:lang w:val="en-US"/>
        </w:rPr>
        <w:t xml:space="preserve">Myasthenia is an autoimmune disorder whose diagnosis and treatment allows the life expectancy of patients doesn´t decrease. In this case, the pharmacist action, avoid the interaction between the drugs prescribed for an acute attack of gout and the usual treatment of myasthenia of a patient who comes to the pharmacy </w:t>
      </w:r>
    </w:p>
    <w:p w:rsidR="00FB318B" w:rsidRDefault="005D08FC" w:rsidP="005D08FC">
      <w:pPr>
        <w:spacing w:line="240" w:lineRule="auto"/>
        <w:jc w:val="both"/>
        <w:rPr>
          <w:rFonts w:ascii="Arial" w:hAnsi="Arial" w:cs="Arial"/>
          <w:sz w:val="24"/>
          <w:szCs w:val="24"/>
        </w:rPr>
      </w:pPr>
      <w:r w:rsidRPr="00FB318B">
        <w:rPr>
          <w:rFonts w:ascii="Arial" w:hAnsi="Arial" w:cs="Arial"/>
          <w:sz w:val="24"/>
          <w:szCs w:val="24"/>
        </w:rPr>
        <w:t>INTRODUCCION</w:t>
      </w:r>
      <w:r w:rsidR="00011BD7">
        <w:rPr>
          <w:rFonts w:ascii="Arial" w:hAnsi="Arial" w:cs="Arial"/>
          <w:sz w:val="24"/>
          <w:szCs w:val="24"/>
        </w:rPr>
        <w:t xml:space="preserve"> </w:t>
      </w:r>
    </w:p>
    <w:p w:rsidR="005D08FC" w:rsidRPr="00F136DE" w:rsidRDefault="005D08FC" w:rsidP="005D08FC">
      <w:pPr>
        <w:spacing w:line="240" w:lineRule="auto"/>
        <w:jc w:val="both"/>
        <w:rPr>
          <w:rFonts w:ascii="Arial" w:hAnsi="Arial" w:cs="Arial"/>
          <w:sz w:val="24"/>
          <w:szCs w:val="24"/>
          <w:vertAlign w:val="superscript"/>
        </w:rPr>
      </w:pPr>
      <w:r w:rsidRPr="00F136DE">
        <w:rPr>
          <w:rFonts w:ascii="Arial" w:hAnsi="Arial" w:cs="Arial"/>
          <w:sz w:val="24"/>
          <w:szCs w:val="24"/>
        </w:rPr>
        <w:t xml:space="preserve">La miastenia </w:t>
      </w:r>
      <w:proofErr w:type="spellStart"/>
      <w:r w:rsidRPr="00F136DE">
        <w:rPr>
          <w:rFonts w:ascii="Arial" w:hAnsi="Arial" w:cs="Arial"/>
          <w:sz w:val="24"/>
          <w:szCs w:val="24"/>
        </w:rPr>
        <w:t>gravis</w:t>
      </w:r>
      <w:proofErr w:type="spellEnd"/>
      <w:r w:rsidRPr="00F136DE">
        <w:rPr>
          <w:rFonts w:ascii="Arial" w:hAnsi="Arial" w:cs="Arial"/>
          <w:sz w:val="24"/>
          <w:szCs w:val="24"/>
        </w:rPr>
        <w:t xml:space="preserve"> es un trastorno autoinmune de la trasmisión neuromuscular debido a una disminución, del número de receptores de </w:t>
      </w:r>
      <w:proofErr w:type="spellStart"/>
      <w:r w:rsidRPr="00F136DE">
        <w:rPr>
          <w:rFonts w:ascii="Arial" w:hAnsi="Arial" w:cs="Arial"/>
          <w:sz w:val="24"/>
          <w:szCs w:val="24"/>
        </w:rPr>
        <w:t>acetilcolina</w:t>
      </w:r>
      <w:proofErr w:type="spellEnd"/>
      <w:r w:rsidRPr="00F136DE">
        <w:rPr>
          <w:rFonts w:ascii="Arial" w:hAnsi="Arial" w:cs="Arial"/>
          <w:sz w:val="24"/>
          <w:szCs w:val="24"/>
        </w:rPr>
        <w:t xml:space="preserve"> en la placa motora. Se caracteriza por debilidad y fatiga muscular, se manifiesta durante la actividad continuada y mejora tras el reposo y la administración de fármacos </w:t>
      </w:r>
      <w:proofErr w:type="spellStart"/>
      <w:r w:rsidRPr="00F136DE">
        <w:rPr>
          <w:rFonts w:ascii="Arial" w:hAnsi="Arial" w:cs="Arial"/>
          <w:sz w:val="24"/>
          <w:szCs w:val="24"/>
        </w:rPr>
        <w:t>anticolinesterásicos</w:t>
      </w:r>
      <w:proofErr w:type="spellEnd"/>
      <w:r w:rsidRPr="00F136DE">
        <w:rPr>
          <w:rFonts w:ascii="Arial" w:hAnsi="Arial" w:cs="Arial"/>
          <w:sz w:val="24"/>
          <w:szCs w:val="24"/>
        </w:rPr>
        <w:t>. Evoluciona por lo general en forma progresiva o en brotes separados por remisiones de duración variable.</w:t>
      </w:r>
      <w:r w:rsidRPr="00F136DE">
        <w:rPr>
          <w:rFonts w:ascii="Arial" w:hAnsi="Arial" w:cs="Arial"/>
          <w:sz w:val="24"/>
          <w:szCs w:val="24"/>
          <w:vertAlign w:val="superscript"/>
        </w:rPr>
        <w:t>1</w:t>
      </w:r>
    </w:p>
    <w:p w:rsidR="005D08FC" w:rsidRPr="00F136DE" w:rsidRDefault="005D08FC" w:rsidP="005D08FC">
      <w:pPr>
        <w:spacing w:line="240" w:lineRule="auto"/>
        <w:jc w:val="both"/>
        <w:rPr>
          <w:rFonts w:ascii="Arial" w:hAnsi="Arial" w:cs="Arial"/>
          <w:sz w:val="24"/>
          <w:szCs w:val="24"/>
        </w:rPr>
      </w:pPr>
      <w:r w:rsidRPr="00F136DE">
        <w:rPr>
          <w:rFonts w:ascii="Arial" w:hAnsi="Arial" w:cs="Arial"/>
          <w:sz w:val="24"/>
          <w:szCs w:val="24"/>
        </w:rPr>
        <w:t xml:space="preserve">Su </w:t>
      </w:r>
      <w:proofErr w:type="spellStart"/>
      <w:r w:rsidRPr="00F136DE">
        <w:rPr>
          <w:rFonts w:ascii="Arial" w:hAnsi="Arial" w:cs="Arial"/>
          <w:sz w:val="24"/>
          <w:szCs w:val="24"/>
        </w:rPr>
        <w:t>diágnóstico</w:t>
      </w:r>
      <w:proofErr w:type="spellEnd"/>
      <w:r w:rsidRPr="00F136DE">
        <w:rPr>
          <w:rFonts w:ascii="Arial" w:hAnsi="Arial" w:cs="Arial"/>
          <w:sz w:val="24"/>
          <w:szCs w:val="24"/>
        </w:rPr>
        <w:t xml:space="preserve"> facilita el control y tratamiento de la enfermedad </w:t>
      </w:r>
      <w:r w:rsidR="00B358A9">
        <w:rPr>
          <w:rFonts w:ascii="Arial" w:hAnsi="Arial" w:cs="Arial"/>
          <w:sz w:val="24"/>
          <w:szCs w:val="24"/>
        </w:rPr>
        <w:t>permitiendo al paciente desarrollar vida normal</w:t>
      </w:r>
      <w:r w:rsidRPr="00F136DE">
        <w:rPr>
          <w:rFonts w:ascii="Arial" w:hAnsi="Arial" w:cs="Arial"/>
          <w:sz w:val="24"/>
          <w:szCs w:val="24"/>
        </w:rPr>
        <w:t xml:space="preserve">. No siempre es fácil un diagnóstico temprano ya que el comienzo de la misma se puede confundir con otras afecciones. Una sospecha puede ser la diplopía, que en ocasiones es la forma de debut de la patología debido a la debilidad de los músculos </w:t>
      </w:r>
      <w:proofErr w:type="gramStart"/>
      <w:r w:rsidRPr="00F136DE">
        <w:rPr>
          <w:rFonts w:ascii="Arial" w:hAnsi="Arial" w:cs="Arial"/>
          <w:sz w:val="24"/>
          <w:szCs w:val="24"/>
        </w:rPr>
        <w:t>oculares(</w:t>
      </w:r>
      <w:proofErr w:type="gramEnd"/>
      <w:r w:rsidRPr="00F136DE">
        <w:rPr>
          <w:rFonts w:ascii="Arial" w:hAnsi="Arial" w:cs="Arial"/>
          <w:sz w:val="24"/>
          <w:szCs w:val="24"/>
        </w:rPr>
        <w:t>como sucedió en el caso que presentamos). En la mayoría de los casos, gracias a su diagnóstico la esperanza de vida de los pacientes no disminuye</w:t>
      </w:r>
      <w:r w:rsidR="00B358A9">
        <w:rPr>
          <w:rFonts w:ascii="Arial" w:hAnsi="Arial" w:cs="Arial"/>
          <w:sz w:val="24"/>
          <w:szCs w:val="24"/>
        </w:rPr>
        <w:t>.</w:t>
      </w:r>
    </w:p>
    <w:p w:rsidR="005D08FC" w:rsidRPr="00F136DE" w:rsidRDefault="005D08FC" w:rsidP="005D08FC">
      <w:pPr>
        <w:spacing w:after="0" w:line="240" w:lineRule="auto"/>
        <w:jc w:val="both"/>
        <w:rPr>
          <w:rFonts w:ascii="Arial" w:eastAsia="Times New Roman" w:hAnsi="Arial" w:cs="Arial"/>
          <w:sz w:val="24"/>
          <w:szCs w:val="24"/>
        </w:rPr>
      </w:pPr>
      <w:r w:rsidRPr="00F136DE">
        <w:rPr>
          <w:rFonts w:ascii="Arial" w:eastAsia="Times New Roman" w:hAnsi="Arial" w:cs="Arial"/>
          <w:sz w:val="24"/>
          <w:szCs w:val="24"/>
        </w:rPr>
        <w:t xml:space="preserve">Se distinguen hasta cuatro formas de presentación clínica: </w:t>
      </w:r>
    </w:p>
    <w:p w:rsidR="005D08FC" w:rsidRPr="00007A31" w:rsidRDefault="005D08FC" w:rsidP="005D08FC">
      <w:pPr>
        <w:pStyle w:val="Prrafodelista"/>
        <w:numPr>
          <w:ilvl w:val="0"/>
          <w:numId w:val="1"/>
        </w:numPr>
        <w:spacing w:after="0" w:line="240" w:lineRule="auto"/>
        <w:jc w:val="both"/>
        <w:rPr>
          <w:rFonts w:ascii="Arial" w:eastAsia="Times New Roman" w:hAnsi="Arial" w:cs="Arial"/>
          <w:sz w:val="24"/>
          <w:szCs w:val="24"/>
        </w:rPr>
      </w:pPr>
      <w:r w:rsidRPr="00007A31">
        <w:rPr>
          <w:rFonts w:ascii="Arial" w:eastAsia="Times New Roman" w:hAnsi="Arial" w:cs="Arial"/>
          <w:sz w:val="24"/>
          <w:szCs w:val="24"/>
        </w:rPr>
        <w:t xml:space="preserve">Grupo I: Miastenia grave ocular, cuando los síntomas están restringidos a la musculatura de los ojos. </w:t>
      </w:r>
    </w:p>
    <w:p w:rsidR="005D08FC" w:rsidRPr="00007A31" w:rsidRDefault="005D08FC" w:rsidP="005D08FC">
      <w:pPr>
        <w:pStyle w:val="Prrafodelista"/>
        <w:numPr>
          <w:ilvl w:val="0"/>
          <w:numId w:val="1"/>
        </w:numPr>
        <w:spacing w:after="0" w:line="240" w:lineRule="auto"/>
        <w:jc w:val="both"/>
        <w:rPr>
          <w:rFonts w:ascii="Arial" w:eastAsia="Times New Roman" w:hAnsi="Arial" w:cs="Arial"/>
          <w:sz w:val="24"/>
          <w:szCs w:val="24"/>
        </w:rPr>
      </w:pPr>
      <w:r w:rsidRPr="00007A31">
        <w:rPr>
          <w:rFonts w:ascii="Arial" w:eastAsia="Times New Roman" w:hAnsi="Arial" w:cs="Arial"/>
          <w:sz w:val="24"/>
          <w:szCs w:val="24"/>
        </w:rPr>
        <w:t xml:space="preserve">Grupo </w:t>
      </w:r>
      <w:proofErr w:type="spellStart"/>
      <w:r w:rsidRPr="00007A31">
        <w:rPr>
          <w:rFonts w:ascii="Arial" w:eastAsia="Times New Roman" w:hAnsi="Arial" w:cs="Arial"/>
          <w:sz w:val="24"/>
          <w:szCs w:val="24"/>
        </w:rPr>
        <w:t>II</w:t>
      </w:r>
      <w:proofErr w:type="gramStart"/>
      <w:r w:rsidRPr="00007A31">
        <w:rPr>
          <w:rFonts w:ascii="Arial" w:eastAsia="Times New Roman" w:hAnsi="Arial" w:cs="Arial"/>
          <w:sz w:val="24"/>
          <w:szCs w:val="24"/>
        </w:rPr>
        <w:t>:Miastenia</w:t>
      </w:r>
      <w:proofErr w:type="spellEnd"/>
      <w:proofErr w:type="gramEnd"/>
      <w:r w:rsidRPr="00007A31">
        <w:rPr>
          <w:rFonts w:ascii="Arial" w:eastAsia="Times New Roman" w:hAnsi="Arial" w:cs="Arial"/>
          <w:sz w:val="24"/>
          <w:szCs w:val="24"/>
        </w:rPr>
        <w:t xml:space="preserve"> grave generalizada, subdividida en A – leve – o B – moderada – según la gravedad del cuadro. </w:t>
      </w:r>
    </w:p>
    <w:p w:rsidR="005D08FC" w:rsidRPr="00007A31" w:rsidRDefault="005D08FC" w:rsidP="005D08FC">
      <w:pPr>
        <w:pStyle w:val="Prrafodelista"/>
        <w:numPr>
          <w:ilvl w:val="0"/>
          <w:numId w:val="1"/>
        </w:numPr>
        <w:spacing w:after="0" w:line="240" w:lineRule="auto"/>
        <w:jc w:val="both"/>
        <w:rPr>
          <w:rFonts w:ascii="Arial" w:eastAsia="Times New Roman" w:hAnsi="Arial" w:cs="Arial"/>
          <w:sz w:val="24"/>
          <w:szCs w:val="24"/>
        </w:rPr>
      </w:pPr>
      <w:r w:rsidRPr="00007A31">
        <w:rPr>
          <w:rFonts w:ascii="Arial" w:eastAsia="Times New Roman" w:hAnsi="Arial" w:cs="Arial"/>
          <w:sz w:val="24"/>
          <w:szCs w:val="24"/>
        </w:rPr>
        <w:t>Grupo III: Forma grave y de presentación a</w:t>
      </w:r>
      <w:r w:rsidR="00007A31" w:rsidRPr="00007A31">
        <w:rPr>
          <w:rFonts w:ascii="Arial" w:eastAsia="Times New Roman" w:hAnsi="Arial" w:cs="Arial"/>
          <w:sz w:val="24"/>
          <w:szCs w:val="24"/>
        </w:rPr>
        <w:t>guda, con afectación la muscula</w:t>
      </w:r>
      <w:r w:rsidRPr="00007A31">
        <w:rPr>
          <w:rFonts w:ascii="Arial" w:eastAsia="Times New Roman" w:hAnsi="Arial" w:cs="Arial"/>
          <w:sz w:val="24"/>
          <w:szCs w:val="24"/>
        </w:rPr>
        <w:t xml:space="preserve">tura respiratoria. </w:t>
      </w:r>
    </w:p>
    <w:p w:rsidR="005D08FC" w:rsidRPr="00007A31" w:rsidRDefault="005D08FC" w:rsidP="005D08FC">
      <w:pPr>
        <w:pStyle w:val="Prrafodelista"/>
        <w:numPr>
          <w:ilvl w:val="0"/>
          <w:numId w:val="1"/>
        </w:numPr>
        <w:spacing w:after="0" w:line="240" w:lineRule="auto"/>
        <w:jc w:val="both"/>
        <w:rPr>
          <w:rFonts w:ascii="Arial" w:eastAsia="Times New Roman" w:hAnsi="Arial" w:cs="Arial"/>
          <w:sz w:val="24"/>
          <w:szCs w:val="24"/>
        </w:rPr>
      </w:pPr>
      <w:r w:rsidRPr="00007A31">
        <w:rPr>
          <w:rFonts w:ascii="Arial" w:eastAsia="Times New Roman" w:hAnsi="Arial" w:cs="Arial"/>
          <w:sz w:val="24"/>
          <w:szCs w:val="24"/>
        </w:rPr>
        <w:lastRenderedPageBreak/>
        <w:t xml:space="preserve">Grupo IV: Forma crónica, en la que pueden verse implicados los músculos de </w:t>
      </w:r>
      <w:r w:rsidR="00007A31" w:rsidRPr="00007A31">
        <w:rPr>
          <w:rFonts w:ascii="Arial" w:eastAsia="Times New Roman" w:hAnsi="Arial" w:cs="Arial"/>
          <w:sz w:val="24"/>
          <w:szCs w:val="24"/>
        </w:rPr>
        <w:t>la</w:t>
      </w:r>
      <w:r w:rsidR="00007A31">
        <w:rPr>
          <w:rFonts w:ascii="Arial" w:eastAsia="Times New Roman" w:hAnsi="Arial" w:cs="Arial"/>
          <w:sz w:val="24"/>
          <w:szCs w:val="24"/>
        </w:rPr>
        <w:t xml:space="preserve"> </w:t>
      </w:r>
      <w:r w:rsidRPr="00007A31">
        <w:rPr>
          <w:rFonts w:ascii="Arial" w:eastAsia="Times New Roman" w:hAnsi="Arial" w:cs="Arial"/>
          <w:sz w:val="24"/>
          <w:szCs w:val="24"/>
        </w:rPr>
        <w:t xml:space="preserve">zona pélvica y de las extremidades inferiores. </w:t>
      </w:r>
    </w:p>
    <w:p w:rsidR="005D08FC" w:rsidRPr="00F136DE" w:rsidRDefault="005D08FC" w:rsidP="005D08FC">
      <w:pPr>
        <w:spacing w:line="240" w:lineRule="auto"/>
        <w:jc w:val="both"/>
        <w:rPr>
          <w:rFonts w:ascii="Arial" w:hAnsi="Arial" w:cs="Arial"/>
          <w:sz w:val="24"/>
          <w:szCs w:val="24"/>
        </w:rPr>
      </w:pPr>
    </w:p>
    <w:p w:rsidR="005D08FC" w:rsidRPr="00F136DE" w:rsidRDefault="005D08FC" w:rsidP="005D08FC">
      <w:pPr>
        <w:spacing w:line="240" w:lineRule="auto"/>
        <w:jc w:val="both"/>
        <w:rPr>
          <w:rFonts w:ascii="Arial" w:hAnsi="Arial" w:cs="Arial"/>
          <w:sz w:val="24"/>
          <w:szCs w:val="24"/>
        </w:rPr>
      </w:pPr>
      <w:r w:rsidRPr="00F136DE">
        <w:rPr>
          <w:rFonts w:ascii="Arial" w:hAnsi="Arial" w:cs="Arial"/>
          <w:sz w:val="24"/>
          <w:szCs w:val="24"/>
        </w:rPr>
        <w:t>PRESENTACION INICIAL DEL CASO</w:t>
      </w:r>
    </w:p>
    <w:p w:rsidR="005D08FC" w:rsidRPr="00F136DE" w:rsidRDefault="005D08FC" w:rsidP="005D08FC">
      <w:pPr>
        <w:spacing w:line="240" w:lineRule="auto"/>
        <w:jc w:val="both"/>
        <w:rPr>
          <w:rFonts w:ascii="Arial" w:hAnsi="Arial" w:cs="Arial"/>
          <w:sz w:val="24"/>
          <w:szCs w:val="24"/>
        </w:rPr>
      </w:pPr>
      <w:r w:rsidRPr="00F136DE">
        <w:rPr>
          <w:rFonts w:ascii="Arial" w:hAnsi="Arial" w:cs="Arial"/>
          <w:sz w:val="24"/>
          <w:szCs w:val="24"/>
        </w:rPr>
        <w:t>Acude a la farmacia un paciente a retir</w:t>
      </w:r>
      <w:r w:rsidR="00E616BF">
        <w:rPr>
          <w:rFonts w:ascii="Arial" w:hAnsi="Arial" w:cs="Arial"/>
          <w:sz w:val="24"/>
          <w:szCs w:val="24"/>
        </w:rPr>
        <w:t>ar la medicación pautada para un</w:t>
      </w:r>
      <w:r w:rsidR="00DC64AD">
        <w:rPr>
          <w:rFonts w:ascii="Arial" w:hAnsi="Arial" w:cs="Arial"/>
          <w:sz w:val="24"/>
          <w:szCs w:val="24"/>
        </w:rPr>
        <w:t xml:space="preserve"> ataque de gota.</w:t>
      </w:r>
      <w:r w:rsidR="000A2520">
        <w:rPr>
          <w:rFonts w:ascii="Arial" w:hAnsi="Arial" w:cs="Arial"/>
          <w:sz w:val="24"/>
          <w:szCs w:val="24"/>
        </w:rPr>
        <w:t xml:space="preserve"> La prescripción  es, </w:t>
      </w:r>
      <w:r w:rsidRPr="00F136DE">
        <w:rPr>
          <w:rFonts w:ascii="Arial" w:hAnsi="Arial" w:cs="Arial"/>
          <w:sz w:val="24"/>
          <w:szCs w:val="24"/>
        </w:rPr>
        <w:t xml:space="preserve"> </w:t>
      </w:r>
      <w:proofErr w:type="spellStart"/>
      <w:r w:rsidRPr="00F136DE">
        <w:rPr>
          <w:rFonts w:ascii="Arial" w:hAnsi="Arial" w:cs="Arial"/>
          <w:sz w:val="24"/>
          <w:szCs w:val="24"/>
        </w:rPr>
        <w:t>colchicina</w:t>
      </w:r>
      <w:proofErr w:type="spellEnd"/>
      <w:r w:rsidRPr="00F136DE">
        <w:rPr>
          <w:rFonts w:ascii="Arial" w:hAnsi="Arial" w:cs="Arial"/>
          <w:sz w:val="24"/>
          <w:szCs w:val="24"/>
        </w:rPr>
        <w:t xml:space="preserve"> 0,5mg-dicloverina 5mg en toma de dos comprimidos juntos y si no remite el ataque puede repetir la dosis en las dos horas siguientes.</w:t>
      </w:r>
      <w:r w:rsidR="00DC64AD">
        <w:rPr>
          <w:rFonts w:ascii="Arial" w:hAnsi="Arial" w:cs="Arial"/>
          <w:sz w:val="24"/>
          <w:szCs w:val="24"/>
        </w:rPr>
        <w:t xml:space="preserve"> Este tratamiento se lo </w:t>
      </w:r>
      <w:r w:rsidR="000A2520">
        <w:rPr>
          <w:rFonts w:ascii="Arial" w:hAnsi="Arial" w:cs="Arial"/>
          <w:sz w:val="24"/>
          <w:szCs w:val="24"/>
        </w:rPr>
        <w:t>indicaron hace unos meses en una situación similar que remitió.</w:t>
      </w:r>
      <w:r w:rsidR="00DC64AD">
        <w:rPr>
          <w:rFonts w:ascii="Arial" w:hAnsi="Arial" w:cs="Arial"/>
          <w:sz w:val="24"/>
          <w:szCs w:val="24"/>
        </w:rPr>
        <w:t xml:space="preserve"> </w:t>
      </w:r>
    </w:p>
    <w:p w:rsidR="005D08FC" w:rsidRPr="00F136DE" w:rsidRDefault="005D08FC" w:rsidP="005D08FC">
      <w:pPr>
        <w:spacing w:line="240" w:lineRule="auto"/>
        <w:jc w:val="both"/>
        <w:rPr>
          <w:rFonts w:ascii="Arial" w:hAnsi="Arial" w:cs="Arial"/>
          <w:sz w:val="24"/>
          <w:szCs w:val="24"/>
        </w:rPr>
      </w:pPr>
      <w:r w:rsidRPr="00F136DE">
        <w:rPr>
          <w:rFonts w:ascii="Arial" w:hAnsi="Arial" w:cs="Arial"/>
          <w:sz w:val="24"/>
          <w:szCs w:val="24"/>
        </w:rPr>
        <w:t>Ya aprovecha y solicita retirar el resto de su medicación habitual. Tabla 1</w:t>
      </w:r>
    </w:p>
    <w:tbl>
      <w:tblPr>
        <w:tblW w:w="8720" w:type="dxa"/>
        <w:tblInd w:w="108" w:type="dxa"/>
        <w:tblLayout w:type="fixed"/>
        <w:tblLook w:val="0000"/>
      </w:tblPr>
      <w:tblGrid>
        <w:gridCol w:w="2195"/>
        <w:gridCol w:w="2443"/>
        <w:gridCol w:w="1609"/>
        <w:gridCol w:w="1373"/>
        <w:gridCol w:w="1100"/>
      </w:tblGrid>
      <w:tr w:rsidR="005D08FC" w:rsidRPr="00F136DE" w:rsidTr="006E3345">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b/>
                <w:bCs/>
                <w:sz w:val="24"/>
                <w:szCs w:val="24"/>
              </w:rPr>
              <w:t>Problema de salud</w:t>
            </w:r>
          </w:p>
        </w:tc>
        <w:tc>
          <w:tcPr>
            <w:tcW w:w="244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b/>
                <w:bCs/>
                <w:sz w:val="24"/>
                <w:szCs w:val="24"/>
              </w:rPr>
              <w:t>Principio activo</w:t>
            </w:r>
          </w:p>
        </w:tc>
        <w:tc>
          <w:tcPr>
            <w:tcW w:w="1609"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b/>
                <w:bCs/>
                <w:sz w:val="24"/>
                <w:szCs w:val="24"/>
              </w:rPr>
              <w:t>Dosis por presentación</w:t>
            </w:r>
          </w:p>
        </w:tc>
        <w:tc>
          <w:tcPr>
            <w:tcW w:w="137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b/>
                <w:bCs/>
                <w:sz w:val="24"/>
                <w:szCs w:val="24"/>
              </w:rPr>
              <w:t>Pauta médica</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b/>
                <w:bCs/>
                <w:sz w:val="24"/>
                <w:szCs w:val="24"/>
              </w:rPr>
              <w:t>Dosis diaria total</w:t>
            </w:r>
          </w:p>
        </w:tc>
      </w:tr>
      <w:tr w:rsidR="005D08FC" w:rsidRPr="00F136DE" w:rsidTr="006E3345">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 xml:space="preserve">Miastenia </w:t>
            </w:r>
            <w:proofErr w:type="spellStart"/>
            <w:r w:rsidRPr="00F136DE">
              <w:rPr>
                <w:rFonts w:ascii="Arial" w:hAnsi="Arial" w:cs="Arial"/>
                <w:sz w:val="24"/>
                <w:szCs w:val="24"/>
              </w:rPr>
              <w:t>gravis</w:t>
            </w:r>
            <w:proofErr w:type="spellEnd"/>
          </w:p>
        </w:tc>
        <w:tc>
          <w:tcPr>
            <w:tcW w:w="244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proofErr w:type="spellStart"/>
            <w:r w:rsidRPr="00F136DE">
              <w:rPr>
                <w:rFonts w:ascii="Arial" w:hAnsi="Arial" w:cs="Arial"/>
                <w:sz w:val="24"/>
                <w:szCs w:val="24"/>
              </w:rPr>
              <w:t>Piridostigmina</w:t>
            </w:r>
            <w:proofErr w:type="spellEnd"/>
            <w:r w:rsidRPr="00F136DE">
              <w:rPr>
                <w:rFonts w:ascii="Arial" w:hAnsi="Arial" w:cs="Arial"/>
                <w:sz w:val="24"/>
                <w:szCs w:val="24"/>
              </w:rPr>
              <w:t xml:space="preserve"> </w:t>
            </w:r>
          </w:p>
        </w:tc>
        <w:tc>
          <w:tcPr>
            <w:tcW w:w="1609"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60mg</w:t>
            </w:r>
          </w:p>
        </w:tc>
        <w:tc>
          <w:tcPr>
            <w:tcW w:w="137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1-1-1-1</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240mg</w:t>
            </w:r>
          </w:p>
        </w:tc>
      </w:tr>
      <w:tr w:rsidR="005D08FC" w:rsidRPr="00F136DE" w:rsidTr="006E3345">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p>
        </w:tc>
        <w:tc>
          <w:tcPr>
            <w:tcW w:w="244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proofErr w:type="spellStart"/>
            <w:r w:rsidRPr="00F136DE">
              <w:rPr>
                <w:rFonts w:ascii="Arial" w:hAnsi="Arial" w:cs="Arial"/>
                <w:sz w:val="24"/>
                <w:szCs w:val="24"/>
              </w:rPr>
              <w:t>Clopidogrel</w:t>
            </w:r>
            <w:proofErr w:type="spellEnd"/>
            <w:r w:rsidRPr="00F136DE">
              <w:rPr>
                <w:rFonts w:ascii="Arial" w:hAnsi="Arial" w:cs="Arial"/>
                <w:sz w:val="24"/>
                <w:szCs w:val="24"/>
              </w:rPr>
              <w:t xml:space="preserve"> </w:t>
            </w:r>
          </w:p>
        </w:tc>
        <w:tc>
          <w:tcPr>
            <w:tcW w:w="1609"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75mg</w:t>
            </w:r>
          </w:p>
        </w:tc>
        <w:tc>
          <w:tcPr>
            <w:tcW w:w="137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1-0-0</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75mg</w:t>
            </w:r>
          </w:p>
        </w:tc>
      </w:tr>
      <w:tr w:rsidR="005D08FC" w:rsidRPr="00F136DE" w:rsidTr="006E3345">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Protector estómago</w:t>
            </w:r>
          </w:p>
        </w:tc>
        <w:tc>
          <w:tcPr>
            <w:tcW w:w="244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proofErr w:type="spellStart"/>
            <w:r w:rsidRPr="00F136DE">
              <w:rPr>
                <w:rFonts w:ascii="Arial" w:hAnsi="Arial" w:cs="Arial"/>
                <w:sz w:val="24"/>
                <w:szCs w:val="24"/>
              </w:rPr>
              <w:t>Ranitidina</w:t>
            </w:r>
            <w:proofErr w:type="spellEnd"/>
            <w:r w:rsidRPr="00F136DE">
              <w:rPr>
                <w:rFonts w:ascii="Arial" w:hAnsi="Arial" w:cs="Arial"/>
                <w:sz w:val="24"/>
                <w:szCs w:val="24"/>
              </w:rPr>
              <w:t xml:space="preserve"> </w:t>
            </w:r>
          </w:p>
        </w:tc>
        <w:tc>
          <w:tcPr>
            <w:tcW w:w="1609"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150mg</w:t>
            </w:r>
          </w:p>
        </w:tc>
        <w:tc>
          <w:tcPr>
            <w:tcW w:w="137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1-0-0-</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150mg</w:t>
            </w:r>
          </w:p>
        </w:tc>
      </w:tr>
    </w:tbl>
    <w:p w:rsidR="005D08FC" w:rsidRPr="006A4ED4" w:rsidRDefault="005D08FC" w:rsidP="005D08FC">
      <w:pPr>
        <w:spacing w:line="240" w:lineRule="auto"/>
        <w:jc w:val="both"/>
        <w:rPr>
          <w:rFonts w:ascii="Arial" w:hAnsi="Arial" w:cs="Arial"/>
          <w:color w:val="FF0000"/>
          <w:sz w:val="24"/>
          <w:szCs w:val="24"/>
        </w:rPr>
      </w:pPr>
      <w:r w:rsidRPr="00F136DE">
        <w:rPr>
          <w:rFonts w:ascii="Arial" w:hAnsi="Arial" w:cs="Arial"/>
          <w:sz w:val="24"/>
          <w:szCs w:val="24"/>
        </w:rPr>
        <w:t xml:space="preserve"> </w:t>
      </w:r>
    </w:p>
    <w:p w:rsidR="000F1742" w:rsidRPr="0006683C" w:rsidRDefault="00D21515" w:rsidP="000F1742">
      <w:pPr>
        <w:tabs>
          <w:tab w:val="left" w:pos="2715"/>
        </w:tabs>
        <w:spacing w:line="240" w:lineRule="auto"/>
        <w:jc w:val="both"/>
        <w:rPr>
          <w:rFonts w:ascii="Arial" w:hAnsi="Arial" w:cs="Arial"/>
          <w:sz w:val="24"/>
          <w:szCs w:val="24"/>
        </w:rPr>
      </w:pPr>
      <w:r>
        <w:rPr>
          <w:rFonts w:ascii="Arial" w:hAnsi="Arial" w:cs="Arial"/>
          <w:sz w:val="24"/>
          <w:szCs w:val="24"/>
        </w:rPr>
        <w:t>Durante la conversación</w:t>
      </w:r>
      <w:r w:rsidR="005D08FC" w:rsidRPr="00F136DE">
        <w:rPr>
          <w:rFonts w:ascii="Arial" w:hAnsi="Arial" w:cs="Arial"/>
          <w:sz w:val="24"/>
          <w:szCs w:val="24"/>
        </w:rPr>
        <w:t>, nos comenta que no sabe muy bien por qué no le dan el antiin</w:t>
      </w:r>
      <w:r w:rsidR="000A2520">
        <w:rPr>
          <w:rFonts w:ascii="Arial" w:hAnsi="Arial" w:cs="Arial"/>
          <w:sz w:val="24"/>
          <w:szCs w:val="24"/>
        </w:rPr>
        <w:t>flamatorio que le indicaron en su primer</w:t>
      </w:r>
      <w:r w:rsidR="005D08FC" w:rsidRPr="00F136DE">
        <w:rPr>
          <w:rFonts w:ascii="Arial" w:hAnsi="Arial" w:cs="Arial"/>
          <w:sz w:val="24"/>
          <w:szCs w:val="24"/>
        </w:rPr>
        <w:t xml:space="preserve"> ataque de gota </w:t>
      </w:r>
      <w:proofErr w:type="gramStart"/>
      <w:r w:rsidR="005D08FC" w:rsidRPr="00F136DE">
        <w:rPr>
          <w:rFonts w:ascii="Arial" w:hAnsi="Arial" w:cs="Arial"/>
          <w:sz w:val="24"/>
          <w:szCs w:val="24"/>
        </w:rPr>
        <w:t xml:space="preserve">( </w:t>
      </w:r>
      <w:proofErr w:type="spellStart"/>
      <w:r w:rsidR="005D08FC" w:rsidRPr="00F136DE">
        <w:rPr>
          <w:rFonts w:ascii="Arial" w:hAnsi="Arial" w:cs="Arial"/>
          <w:sz w:val="24"/>
          <w:szCs w:val="24"/>
        </w:rPr>
        <w:t>etoricoxib</w:t>
      </w:r>
      <w:proofErr w:type="spellEnd"/>
      <w:proofErr w:type="gramEnd"/>
      <w:r w:rsidR="005D08FC" w:rsidRPr="00F136DE">
        <w:rPr>
          <w:rFonts w:ascii="Arial" w:hAnsi="Arial" w:cs="Arial"/>
          <w:sz w:val="24"/>
          <w:szCs w:val="24"/>
        </w:rPr>
        <w:t xml:space="preserve"> 60mg) y que, en su opinión, le fue mejor </w:t>
      </w:r>
      <w:r w:rsidR="005D08FC" w:rsidRPr="0006683C">
        <w:rPr>
          <w:rFonts w:ascii="Arial" w:hAnsi="Arial" w:cs="Arial"/>
          <w:sz w:val="24"/>
          <w:szCs w:val="24"/>
        </w:rPr>
        <w:t xml:space="preserve">que </w:t>
      </w:r>
      <w:r w:rsidR="000F1742" w:rsidRPr="0006683C">
        <w:rPr>
          <w:rFonts w:ascii="Arial" w:hAnsi="Arial" w:cs="Arial"/>
          <w:sz w:val="24"/>
          <w:szCs w:val="24"/>
        </w:rPr>
        <w:t xml:space="preserve">la </w:t>
      </w:r>
      <w:proofErr w:type="spellStart"/>
      <w:r w:rsidR="000F1742" w:rsidRPr="0006683C">
        <w:rPr>
          <w:rFonts w:ascii="Arial" w:hAnsi="Arial" w:cs="Arial"/>
          <w:sz w:val="24"/>
          <w:szCs w:val="24"/>
        </w:rPr>
        <w:t>colchicina-dicloverina</w:t>
      </w:r>
      <w:proofErr w:type="spellEnd"/>
    </w:p>
    <w:p w:rsidR="005D08FC" w:rsidRPr="00D96279" w:rsidRDefault="000F1742" w:rsidP="005D08FC">
      <w:pPr>
        <w:tabs>
          <w:tab w:val="left" w:pos="2715"/>
        </w:tabs>
        <w:spacing w:line="240" w:lineRule="auto"/>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le han prescrito </w:t>
      </w:r>
      <w:r w:rsidR="005D08FC" w:rsidRPr="00F136DE">
        <w:rPr>
          <w:rFonts w:ascii="Arial" w:hAnsi="Arial" w:cs="Arial"/>
          <w:sz w:val="24"/>
          <w:szCs w:val="24"/>
        </w:rPr>
        <w:t>ahora</w:t>
      </w:r>
      <w:r w:rsidR="000A2520">
        <w:rPr>
          <w:rFonts w:ascii="Arial" w:hAnsi="Arial" w:cs="Arial"/>
          <w:sz w:val="24"/>
          <w:szCs w:val="24"/>
        </w:rPr>
        <w:t xml:space="preserve"> </w:t>
      </w:r>
      <w:r w:rsidR="00D21515">
        <w:rPr>
          <w:rFonts w:ascii="Arial" w:hAnsi="Arial" w:cs="Arial"/>
          <w:sz w:val="24"/>
          <w:szCs w:val="24"/>
        </w:rPr>
        <w:t>C</w:t>
      </w:r>
      <w:r w:rsidR="005D08FC" w:rsidRPr="00F136DE">
        <w:rPr>
          <w:rFonts w:ascii="Arial" w:hAnsi="Arial" w:cs="Arial"/>
          <w:sz w:val="24"/>
          <w:szCs w:val="24"/>
        </w:rPr>
        <w:t xml:space="preserve">on el </w:t>
      </w:r>
      <w:proofErr w:type="spellStart"/>
      <w:r w:rsidR="005D08FC" w:rsidRPr="00F136DE">
        <w:rPr>
          <w:rFonts w:ascii="Arial" w:hAnsi="Arial" w:cs="Arial"/>
          <w:sz w:val="24"/>
          <w:szCs w:val="24"/>
        </w:rPr>
        <w:t>etoricoxib</w:t>
      </w:r>
      <w:proofErr w:type="spellEnd"/>
      <w:r w:rsidR="005D08FC" w:rsidRPr="00F136DE">
        <w:rPr>
          <w:rFonts w:ascii="Arial" w:hAnsi="Arial" w:cs="Arial"/>
          <w:sz w:val="24"/>
          <w:szCs w:val="24"/>
        </w:rPr>
        <w:t xml:space="preserve">, el dolor </w:t>
      </w:r>
      <w:r w:rsidR="00D21515">
        <w:rPr>
          <w:rFonts w:ascii="Arial" w:hAnsi="Arial" w:cs="Arial"/>
          <w:sz w:val="24"/>
          <w:szCs w:val="24"/>
        </w:rPr>
        <w:t xml:space="preserve">le remitía más rápido y </w:t>
      </w:r>
      <w:r w:rsidR="005D08FC" w:rsidRPr="00F136DE">
        <w:rPr>
          <w:rFonts w:ascii="Arial" w:hAnsi="Arial" w:cs="Arial"/>
          <w:sz w:val="24"/>
          <w:szCs w:val="24"/>
        </w:rPr>
        <w:t xml:space="preserve">no </w:t>
      </w:r>
      <w:r w:rsidR="00D21515">
        <w:rPr>
          <w:rFonts w:ascii="Arial" w:hAnsi="Arial" w:cs="Arial"/>
          <w:sz w:val="24"/>
          <w:szCs w:val="24"/>
        </w:rPr>
        <w:t xml:space="preserve">padecía </w:t>
      </w:r>
      <w:r w:rsidR="00D21515" w:rsidRPr="00D96279">
        <w:rPr>
          <w:rFonts w:ascii="Arial" w:hAnsi="Arial" w:cs="Arial"/>
          <w:sz w:val="24"/>
          <w:szCs w:val="24"/>
        </w:rPr>
        <w:t xml:space="preserve">ataques tan </w:t>
      </w:r>
      <w:r w:rsidR="005D08FC" w:rsidRPr="00D96279">
        <w:rPr>
          <w:rFonts w:ascii="Arial" w:hAnsi="Arial" w:cs="Arial"/>
          <w:sz w:val="24"/>
          <w:szCs w:val="24"/>
        </w:rPr>
        <w:t>seguidos.</w:t>
      </w:r>
      <w:r w:rsidR="009F7841" w:rsidRPr="00D96279">
        <w:rPr>
          <w:rFonts w:ascii="Arial" w:hAnsi="Arial" w:cs="Arial"/>
          <w:sz w:val="24"/>
          <w:szCs w:val="24"/>
        </w:rPr>
        <w:t xml:space="preserve"> </w:t>
      </w:r>
      <w:r w:rsidR="00973281" w:rsidRPr="00D96279">
        <w:rPr>
          <w:rFonts w:ascii="Arial" w:hAnsi="Arial" w:cs="Arial"/>
          <w:sz w:val="24"/>
          <w:szCs w:val="24"/>
        </w:rPr>
        <w:t xml:space="preserve"> </w:t>
      </w:r>
      <w:proofErr w:type="spellStart"/>
      <w:r w:rsidR="00973281" w:rsidRPr="00D96279">
        <w:rPr>
          <w:rFonts w:ascii="Arial" w:hAnsi="Arial" w:cs="Arial"/>
          <w:sz w:val="24"/>
          <w:szCs w:val="24"/>
        </w:rPr>
        <w:t>Ultimamente</w:t>
      </w:r>
      <w:proofErr w:type="spellEnd"/>
      <w:r w:rsidR="00973281" w:rsidRPr="00D96279">
        <w:rPr>
          <w:rFonts w:ascii="Arial" w:hAnsi="Arial" w:cs="Arial"/>
          <w:sz w:val="24"/>
          <w:szCs w:val="24"/>
        </w:rPr>
        <w:t xml:space="preserve"> sufre un epi</w:t>
      </w:r>
      <w:r w:rsidR="00A90CC3">
        <w:rPr>
          <w:rFonts w:ascii="Arial" w:hAnsi="Arial" w:cs="Arial"/>
          <w:sz w:val="24"/>
          <w:szCs w:val="24"/>
        </w:rPr>
        <w:t xml:space="preserve">sodio nuevo de gota cada semana. </w:t>
      </w:r>
      <w:r w:rsidR="00CB4261" w:rsidRPr="00A90CC3">
        <w:rPr>
          <w:rFonts w:ascii="Arial" w:hAnsi="Arial" w:cs="Arial"/>
          <w:sz w:val="24"/>
          <w:szCs w:val="24"/>
        </w:rPr>
        <w:t xml:space="preserve">En esta ocasión, le han mandado la </w:t>
      </w:r>
      <w:proofErr w:type="spellStart"/>
      <w:r w:rsidR="00CB4261" w:rsidRPr="00A90CC3">
        <w:rPr>
          <w:rFonts w:ascii="Arial" w:hAnsi="Arial" w:cs="Arial"/>
          <w:sz w:val="24"/>
          <w:szCs w:val="24"/>
        </w:rPr>
        <w:t>colchicina-dicloverina</w:t>
      </w:r>
      <w:proofErr w:type="spellEnd"/>
    </w:p>
    <w:p w:rsidR="005D08FC" w:rsidRDefault="005D08FC" w:rsidP="005D08FC">
      <w:pPr>
        <w:tabs>
          <w:tab w:val="left" w:pos="2715"/>
        </w:tabs>
        <w:spacing w:line="240" w:lineRule="auto"/>
        <w:jc w:val="both"/>
        <w:rPr>
          <w:rFonts w:ascii="Arial" w:hAnsi="Arial" w:cs="Arial"/>
          <w:sz w:val="24"/>
          <w:szCs w:val="24"/>
        </w:rPr>
      </w:pPr>
      <w:r w:rsidRPr="00D96279">
        <w:rPr>
          <w:rFonts w:ascii="Arial" w:hAnsi="Arial" w:cs="Arial"/>
          <w:sz w:val="24"/>
          <w:szCs w:val="24"/>
        </w:rPr>
        <w:t>Además, le suena haber leído que en casos como el suyo, con miastenia</w:t>
      </w:r>
      <w:r w:rsidRPr="00F136DE">
        <w:rPr>
          <w:rFonts w:ascii="Arial" w:hAnsi="Arial" w:cs="Arial"/>
          <w:sz w:val="24"/>
          <w:szCs w:val="24"/>
        </w:rPr>
        <w:t>, este medicamento no es muy recomendable.</w:t>
      </w:r>
    </w:p>
    <w:p w:rsidR="00FB318B" w:rsidRPr="008820C7" w:rsidRDefault="00C20605" w:rsidP="005D08FC">
      <w:pPr>
        <w:tabs>
          <w:tab w:val="left" w:pos="2715"/>
        </w:tabs>
        <w:spacing w:line="240" w:lineRule="auto"/>
        <w:jc w:val="both"/>
        <w:rPr>
          <w:rFonts w:ascii="Arial" w:hAnsi="Arial" w:cs="Arial"/>
          <w:sz w:val="24"/>
          <w:szCs w:val="24"/>
        </w:rPr>
      </w:pPr>
      <w:r w:rsidRPr="00C20605">
        <w:rPr>
          <w:rFonts w:ascii="Arial" w:hAnsi="Arial" w:cs="Arial"/>
          <w:sz w:val="24"/>
          <w:szCs w:val="24"/>
        </w:rPr>
        <w:t>TRATAMIENTO DE LA GOTA</w:t>
      </w:r>
    </w:p>
    <w:p w:rsidR="00196599" w:rsidRDefault="00196599" w:rsidP="005D08FC">
      <w:pPr>
        <w:tabs>
          <w:tab w:val="left" w:pos="2715"/>
        </w:tabs>
        <w:spacing w:line="240" w:lineRule="auto"/>
        <w:jc w:val="both"/>
        <w:rPr>
          <w:rFonts w:ascii="Arial" w:hAnsi="Arial" w:cs="Arial"/>
          <w:sz w:val="24"/>
          <w:szCs w:val="24"/>
        </w:rPr>
      </w:pPr>
      <w:r w:rsidRPr="00196599">
        <w:rPr>
          <w:rFonts w:ascii="Arial" w:hAnsi="Arial" w:cs="Arial"/>
          <w:sz w:val="24"/>
          <w:szCs w:val="24"/>
        </w:rPr>
        <w:t>Los va</w:t>
      </w:r>
      <w:r>
        <w:rPr>
          <w:rFonts w:ascii="Arial" w:hAnsi="Arial" w:cs="Arial"/>
          <w:sz w:val="24"/>
          <w:szCs w:val="24"/>
        </w:rPr>
        <w:t>lores normales de ácido úrico se sitúan entre 3,4-7,00 mg/dl en varones y 2,4-6,00 mg/dl en mujeres</w:t>
      </w:r>
      <w:proofErr w:type="gramStart"/>
      <w:r>
        <w:rPr>
          <w:rFonts w:ascii="Arial" w:hAnsi="Arial" w:cs="Arial"/>
          <w:sz w:val="24"/>
          <w:szCs w:val="24"/>
        </w:rPr>
        <w:t>.</w:t>
      </w:r>
      <w:r w:rsidR="006F3B29">
        <w:rPr>
          <w:rFonts w:ascii="Arial" w:hAnsi="Arial" w:cs="Arial"/>
          <w:sz w:val="24"/>
          <w:szCs w:val="24"/>
        </w:rPr>
        <w:t>.</w:t>
      </w:r>
      <w:proofErr w:type="gramEnd"/>
      <w:r w:rsidR="006F3B29">
        <w:rPr>
          <w:rFonts w:ascii="Arial" w:hAnsi="Arial" w:cs="Arial"/>
          <w:sz w:val="24"/>
          <w:szCs w:val="24"/>
        </w:rPr>
        <w:t xml:space="preserve"> Con el tratamiento se persigue mantener la uricemia &lt;6mg/dl consiguiendo </w:t>
      </w:r>
      <w:r w:rsidR="006F3B29" w:rsidRPr="006F3B29">
        <w:rPr>
          <w:rFonts w:ascii="Arial" w:hAnsi="Arial" w:cs="Arial"/>
          <w:sz w:val="24"/>
          <w:szCs w:val="24"/>
        </w:rPr>
        <w:t>la desaparición de los tofos y de los ataques agudos.</w:t>
      </w:r>
      <w:r w:rsidR="004C4B75">
        <w:rPr>
          <w:rFonts w:ascii="Arial" w:hAnsi="Arial" w:cs="Arial"/>
          <w:sz w:val="24"/>
          <w:szCs w:val="24"/>
        </w:rPr>
        <w:t xml:space="preserve"> </w:t>
      </w:r>
      <w:r w:rsidR="008820C7">
        <w:rPr>
          <w:rFonts w:ascii="Arial" w:hAnsi="Arial" w:cs="Arial"/>
          <w:sz w:val="24"/>
          <w:szCs w:val="24"/>
        </w:rPr>
        <w:t>No se disponen del dato en el paciente</w:t>
      </w:r>
    </w:p>
    <w:p w:rsidR="004C4B75" w:rsidRDefault="004C4B75" w:rsidP="005D08FC">
      <w:pPr>
        <w:tabs>
          <w:tab w:val="left" w:pos="2715"/>
        </w:tabs>
        <w:spacing w:line="240" w:lineRule="auto"/>
        <w:jc w:val="both"/>
        <w:rPr>
          <w:rFonts w:ascii="Arial" w:hAnsi="Arial" w:cs="Arial"/>
          <w:sz w:val="24"/>
          <w:szCs w:val="24"/>
        </w:rPr>
      </w:pPr>
      <w:r>
        <w:rPr>
          <w:rFonts w:ascii="Arial" w:hAnsi="Arial" w:cs="Arial"/>
          <w:sz w:val="24"/>
          <w:szCs w:val="24"/>
        </w:rPr>
        <w:t xml:space="preserve">En el ataque agudo de gota, la </w:t>
      </w:r>
      <w:proofErr w:type="spellStart"/>
      <w:r>
        <w:rPr>
          <w:rFonts w:ascii="Arial" w:hAnsi="Arial" w:cs="Arial"/>
          <w:sz w:val="24"/>
          <w:szCs w:val="24"/>
        </w:rPr>
        <w:t>colchicina</w:t>
      </w:r>
      <w:proofErr w:type="spellEnd"/>
      <w:r>
        <w:rPr>
          <w:rFonts w:ascii="Arial" w:hAnsi="Arial" w:cs="Arial"/>
          <w:sz w:val="24"/>
          <w:szCs w:val="24"/>
        </w:rPr>
        <w:t xml:space="preserve"> resulta ser muy específico y eficaz</w:t>
      </w:r>
      <w:r w:rsidR="000F1742">
        <w:rPr>
          <w:rFonts w:ascii="Arial" w:hAnsi="Arial" w:cs="Arial"/>
          <w:sz w:val="24"/>
          <w:szCs w:val="24"/>
        </w:rPr>
        <w:t>, el</w:t>
      </w:r>
      <w:r>
        <w:rPr>
          <w:rFonts w:ascii="Arial" w:hAnsi="Arial" w:cs="Arial"/>
          <w:sz w:val="24"/>
          <w:szCs w:val="24"/>
        </w:rPr>
        <w:t xml:space="preserve"> principal inconveniente son los efectos gastrointestinales debido a su pauta de administración. Este es un factor por el cual muchos autores prefieren el uso de </w:t>
      </w:r>
      <w:proofErr w:type="spellStart"/>
      <w:r>
        <w:rPr>
          <w:rFonts w:ascii="Arial" w:hAnsi="Arial" w:cs="Arial"/>
          <w:sz w:val="24"/>
          <w:szCs w:val="24"/>
        </w:rPr>
        <w:t>AINEs</w:t>
      </w:r>
      <w:proofErr w:type="spellEnd"/>
      <w:r>
        <w:rPr>
          <w:rFonts w:ascii="Arial" w:hAnsi="Arial" w:cs="Arial"/>
          <w:sz w:val="24"/>
          <w:szCs w:val="24"/>
        </w:rPr>
        <w:t xml:space="preserve"> como tratamiento de elección, se suele recomendar la </w:t>
      </w:r>
      <w:proofErr w:type="spellStart"/>
      <w:r>
        <w:rPr>
          <w:rFonts w:ascii="Arial" w:hAnsi="Arial" w:cs="Arial"/>
          <w:sz w:val="24"/>
          <w:szCs w:val="24"/>
        </w:rPr>
        <w:t>indometacina</w:t>
      </w:r>
      <w:proofErr w:type="spellEnd"/>
      <w:r>
        <w:rPr>
          <w:rFonts w:ascii="Arial" w:hAnsi="Arial" w:cs="Arial"/>
          <w:sz w:val="24"/>
          <w:szCs w:val="24"/>
        </w:rPr>
        <w:t xml:space="preserve"> y se evitan los salicilatos.</w:t>
      </w:r>
    </w:p>
    <w:p w:rsidR="004C4B75" w:rsidRDefault="004C4B75" w:rsidP="005D08FC">
      <w:pPr>
        <w:tabs>
          <w:tab w:val="left" w:pos="2715"/>
        </w:tabs>
        <w:spacing w:line="240" w:lineRule="auto"/>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colchicina</w:t>
      </w:r>
      <w:proofErr w:type="spellEnd"/>
      <w:r>
        <w:rPr>
          <w:rFonts w:ascii="Arial" w:hAnsi="Arial" w:cs="Arial"/>
          <w:sz w:val="24"/>
          <w:szCs w:val="24"/>
        </w:rPr>
        <w:t xml:space="preserve"> a dosis bajas (0,5-1mg/día) puede ser eficaz en tratamiento preventivo. En esta circunstancia se prefiere antes que los AINE por sus potenciales efectos adversos. </w:t>
      </w:r>
    </w:p>
    <w:p w:rsidR="00026F74" w:rsidRDefault="00026F74" w:rsidP="005D08FC">
      <w:pPr>
        <w:tabs>
          <w:tab w:val="left" w:pos="2715"/>
        </w:tabs>
        <w:spacing w:line="240" w:lineRule="auto"/>
        <w:jc w:val="both"/>
        <w:rPr>
          <w:rFonts w:ascii="Arial" w:hAnsi="Arial" w:cs="Arial"/>
          <w:sz w:val="24"/>
          <w:szCs w:val="24"/>
        </w:rPr>
      </w:pPr>
      <w:r>
        <w:rPr>
          <w:rFonts w:ascii="Arial" w:hAnsi="Arial" w:cs="Arial"/>
          <w:sz w:val="24"/>
          <w:szCs w:val="24"/>
        </w:rPr>
        <w:lastRenderedPageBreak/>
        <w:t xml:space="preserve">Los medicamentos correctores de la hiperuricemia se utilizan para mantener los niveles de ácido úrico controlados. Se recomienda iniciar el tratamiento con un </w:t>
      </w:r>
      <w:proofErr w:type="spellStart"/>
      <w:r>
        <w:rPr>
          <w:rFonts w:ascii="Arial" w:hAnsi="Arial" w:cs="Arial"/>
          <w:sz w:val="24"/>
          <w:szCs w:val="24"/>
        </w:rPr>
        <w:t>uricosúrico</w:t>
      </w:r>
      <w:proofErr w:type="spellEnd"/>
      <w:r>
        <w:rPr>
          <w:rFonts w:ascii="Arial" w:hAnsi="Arial" w:cs="Arial"/>
          <w:sz w:val="24"/>
          <w:szCs w:val="24"/>
        </w:rPr>
        <w:t xml:space="preserve"> como la </w:t>
      </w:r>
      <w:proofErr w:type="spellStart"/>
      <w:r>
        <w:rPr>
          <w:rFonts w:ascii="Arial" w:hAnsi="Arial" w:cs="Arial"/>
          <w:sz w:val="24"/>
          <w:szCs w:val="24"/>
        </w:rPr>
        <w:t>benzbromarona</w:t>
      </w:r>
      <w:proofErr w:type="spellEnd"/>
      <w:r>
        <w:rPr>
          <w:rFonts w:ascii="Arial" w:hAnsi="Arial" w:cs="Arial"/>
          <w:sz w:val="24"/>
          <w:szCs w:val="24"/>
        </w:rPr>
        <w:t xml:space="preserve"> pero en la práctica clínica, es el </w:t>
      </w:r>
      <w:proofErr w:type="spellStart"/>
      <w:r>
        <w:rPr>
          <w:rFonts w:ascii="Arial" w:hAnsi="Arial" w:cs="Arial"/>
          <w:sz w:val="24"/>
          <w:szCs w:val="24"/>
        </w:rPr>
        <w:t>alopurinol</w:t>
      </w:r>
      <w:proofErr w:type="spellEnd"/>
      <w:r>
        <w:rPr>
          <w:rFonts w:ascii="Arial" w:hAnsi="Arial" w:cs="Arial"/>
          <w:sz w:val="24"/>
          <w:szCs w:val="24"/>
        </w:rPr>
        <w:t xml:space="preserve"> el más utilizado.</w:t>
      </w:r>
    </w:p>
    <w:p w:rsidR="007A5F5B" w:rsidRPr="007A5F5B" w:rsidRDefault="00E63503" w:rsidP="007A5F5B">
      <w:pPr>
        <w:autoSpaceDE w:val="0"/>
        <w:autoSpaceDN w:val="0"/>
        <w:adjustRightInd w:val="0"/>
        <w:spacing w:line="240" w:lineRule="auto"/>
        <w:jc w:val="both"/>
        <w:rPr>
          <w:rFonts w:ascii="Arial" w:hAnsi="Arial" w:cs="Arial"/>
          <w:color w:val="FF0000"/>
          <w:sz w:val="24"/>
          <w:szCs w:val="24"/>
        </w:rPr>
      </w:pPr>
      <w:r>
        <w:rPr>
          <w:rFonts w:ascii="Arial" w:hAnsi="Arial" w:cs="Arial"/>
          <w:sz w:val="24"/>
          <w:szCs w:val="24"/>
        </w:rPr>
        <w:t>C</w:t>
      </w:r>
      <w:r w:rsidR="007A5F5B" w:rsidRPr="00F136DE">
        <w:rPr>
          <w:rFonts w:ascii="Arial" w:hAnsi="Arial" w:cs="Arial"/>
          <w:sz w:val="24"/>
          <w:szCs w:val="24"/>
        </w:rPr>
        <w:t xml:space="preserve">omprobamos que, efectivamente, la </w:t>
      </w:r>
      <w:proofErr w:type="spellStart"/>
      <w:r w:rsidR="007A5F5B" w:rsidRPr="00F136DE">
        <w:rPr>
          <w:rFonts w:ascii="Arial" w:hAnsi="Arial" w:cs="Arial"/>
          <w:sz w:val="24"/>
          <w:szCs w:val="24"/>
        </w:rPr>
        <w:t>colchicina-dicicloverina</w:t>
      </w:r>
      <w:proofErr w:type="spellEnd"/>
      <w:r w:rsidR="007A5F5B" w:rsidRPr="00F136DE">
        <w:rPr>
          <w:rFonts w:ascii="Arial" w:hAnsi="Arial" w:cs="Arial"/>
          <w:sz w:val="24"/>
          <w:szCs w:val="24"/>
        </w:rPr>
        <w:t xml:space="preserve">, está contraindicada en el caso de miastenia. Esto es debido a que la </w:t>
      </w:r>
      <w:proofErr w:type="spellStart"/>
      <w:r w:rsidR="007A5F5B" w:rsidRPr="00F136DE">
        <w:rPr>
          <w:rFonts w:ascii="Arial" w:hAnsi="Arial" w:cs="Arial"/>
          <w:sz w:val="24"/>
          <w:szCs w:val="24"/>
        </w:rPr>
        <w:t>dicicloverina</w:t>
      </w:r>
      <w:proofErr w:type="spellEnd"/>
      <w:r w:rsidR="007A5F5B" w:rsidRPr="00F136DE">
        <w:rPr>
          <w:rFonts w:ascii="Arial" w:hAnsi="Arial" w:cs="Arial"/>
          <w:sz w:val="24"/>
          <w:szCs w:val="24"/>
        </w:rPr>
        <w:t xml:space="preserve"> es un fármaco </w:t>
      </w:r>
      <w:proofErr w:type="spellStart"/>
      <w:r w:rsidR="007A5F5B" w:rsidRPr="00F136DE">
        <w:rPr>
          <w:rFonts w:ascii="Arial" w:hAnsi="Arial" w:cs="Arial"/>
          <w:sz w:val="24"/>
          <w:szCs w:val="24"/>
        </w:rPr>
        <w:t>anticolinérgico</w:t>
      </w:r>
      <w:proofErr w:type="spellEnd"/>
      <w:r w:rsidR="007A5F5B" w:rsidRPr="00F136DE">
        <w:rPr>
          <w:rFonts w:ascii="Arial" w:hAnsi="Arial" w:cs="Arial"/>
          <w:sz w:val="24"/>
          <w:szCs w:val="24"/>
        </w:rPr>
        <w:t xml:space="preserve"> (</w:t>
      </w:r>
      <w:r w:rsidR="00E27FCD">
        <w:rPr>
          <w:rFonts w:ascii="Arial" w:hAnsi="Arial" w:cs="Arial"/>
          <w:sz w:val="24"/>
          <w:szCs w:val="24"/>
        </w:rPr>
        <w:t xml:space="preserve">que </w:t>
      </w:r>
      <w:r w:rsidR="007A5F5B" w:rsidRPr="00F136DE">
        <w:rPr>
          <w:rFonts w:ascii="Arial" w:hAnsi="Arial" w:cs="Arial"/>
          <w:sz w:val="24"/>
          <w:szCs w:val="24"/>
        </w:rPr>
        <w:t xml:space="preserve">combinado con la </w:t>
      </w:r>
      <w:proofErr w:type="spellStart"/>
      <w:r w:rsidR="007A5F5B" w:rsidRPr="00F136DE">
        <w:rPr>
          <w:rFonts w:ascii="Arial" w:hAnsi="Arial" w:cs="Arial"/>
          <w:sz w:val="24"/>
          <w:szCs w:val="24"/>
        </w:rPr>
        <w:t>colchicina</w:t>
      </w:r>
      <w:proofErr w:type="spellEnd"/>
      <w:r w:rsidR="007A5F5B" w:rsidRPr="00F136DE">
        <w:rPr>
          <w:rFonts w:ascii="Arial" w:hAnsi="Arial" w:cs="Arial"/>
          <w:sz w:val="24"/>
          <w:szCs w:val="24"/>
        </w:rPr>
        <w:t xml:space="preserve"> busca disminuir sus posibles efectos adversos) que puede </w:t>
      </w:r>
      <w:r w:rsidR="007A5F5B" w:rsidRPr="00D96279">
        <w:rPr>
          <w:rFonts w:ascii="Arial" w:hAnsi="Arial" w:cs="Arial"/>
          <w:sz w:val="24"/>
          <w:szCs w:val="24"/>
        </w:rPr>
        <w:t>disminuir la eficacia de</w:t>
      </w:r>
      <w:r w:rsidR="007A5F5B" w:rsidRPr="00F136DE">
        <w:rPr>
          <w:rFonts w:ascii="Arial" w:hAnsi="Arial" w:cs="Arial"/>
          <w:sz w:val="24"/>
          <w:szCs w:val="24"/>
        </w:rPr>
        <w:t xml:space="preserve"> la </w:t>
      </w:r>
      <w:proofErr w:type="spellStart"/>
      <w:r w:rsidR="007A5F5B" w:rsidRPr="00F136DE">
        <w:rPr>
          <w:rFonts w:ascii="Arial" w:hAnsi="Arial" w:cs="Arial"/>
          <w:sz w:val="24"/>
          <w:szCs w:val="24"/>
        </w:rPr>
        <w:t>piridostigmina</w:t>
      </w:r>
      <w:proofErr w:type="spellEnd"/>
      <w:r w:rsidR="007A5F5B" w:rsidRPr="00F136DE">
        <w:rPr>
          <w:rFonts w:ascii="Arial" w:hAnsi="Arial" w:cs="Arial"/>
          <w:sz w:val="24"/>
          <w:szCs w:val="24"/>
        </w:rPr>
        <w:t xml:space="preserve">. </w:t>
      </w:r>
      <w:r w:rsidR="00801921">
        <w:rPr>
          <w:rFonts w:ascii="Arial" w:hAnsi="Arial" w:cs="Arial"/>
          <w:sz w:val="24"/>
          <w:szCs w:val="24"/>
        </w:rPr>
        <w:t>Esto podría desencadenar un agravamiento de la patología de base aumentando la debilidad muscular, diplopía…</w:t>
      </w:r>
    </w:p>
    <w:p w:rsidR="00011BD7" w:rsidRPr="008820C7" w:rsidRDefault="00C20605" w:rsidP="005D08FC">
      <w:pPr>
        <w:autoSpaceDE w:val="0"/>
        <w:autoSpaceDN w:val="0"/>
        <w:adjustRightInd w:val="0"/>
        <w:spacing w:line="240" w:lineRule="auto"/>
        <w:jc w:val="both"/>
        <w:rPr>
          <w:rFonts w:ascii="Arial" w:hAnsi="Arial" w:cs="Arial"/>
          <w:sz w:val="24"/>
          <w:szCs w:val="24"/>
        </w:rPr>
      </w:pPr>
      <w:r w:rsidRPr="00C20605">
        <w:rPr>
          <w:rFonts w:ascii="Arial" w:hAnsi="Arial" w:cs="Arial"/>
          <w:sz w:val="24"/>
          <w:szCs w:val="24"/>
        </w:rPr>
        <w:t>INTERVENCIÓN</w:t>
      </w:r>
    </w:p>
    <w:p w:rsidR="00433AE3" w:rsidRPr="008820C7" w:rsidRDefault="00433AE3" w:rsidP="00433AE3">
      <w:pPr>
        <w:autoSpaceDE w:val="0"/>
        <w:autoSpaceDN w:val="0"/>
        <w:adjustRightInd w:val="0"/>
        <w:spacing w:line="240" w:lineRule="auto"/>
        <w:jc w:val="both"/>
        <w:rPr>
          <w:rFonts w:ascii="Arial" w:hAnsi="Arial" w:cs="Arial"/>
          <w:sz w:val="24"/>
          <w:szCs w:val="24"/>
        </w:rPr>
      </w:pPr>
      <w:r w:rsidRPr="008820C7">
        <w:rPr>
          <w:rFonts w:ascii="Arial" w:hAnsi="Arial" w:cs="Arial"/>
          <w:sz w:val="24"/>
          <w:szCs w:val="24"/>
        </w:rPr>
        <w:t xml:space="preserve">Ante esta situación, nos planteamos </w:t>
      </w:r>
      <w:r w:rsidR="00FB318B" w:rsidRPr="008820C7">
        <w:rPr>
          <w:rFonts w:ascii="Arial" w:hAnsi="Arial" w:cs="Arial"/>
          <w:sz w:val="24"/>
          <w:szCs w:val="24"/>
        </w:rPr>
        <w:t>dos</w:t>
      </w:r>
      <w:r w:rsidR="00C20605">
        <w:rPr>
          <w:rFonts w:ascii="Arial" w:hAnsi="Arial" w:cs="Arial"/>
          <w:sz w:val="24"/>
          <w:szCs w:val="24"/>
        </w:rPr>
        <w:t xml:space="preserve"> objetivos a solucionar. </w:t>
      </w:r>
    </w:p>
    <w:p w:rsidR="00433AE3" w:rsidRPr="008820C7" w:rsidRDefault="00C20605" w:rsidP="00783F3E">
      <w:pPr>
        <w:autoSpaceDE w:val="0"/>
        <w:autoSpaceDN w:val="0"/>
        <w:adjustRightInd w:val="0"/>
        <w:spacing w:line="240" w:lineRule="auto"/>
        <w:jc w:val="both"/>
        <w:rPr>
          <w:rFonts w:ascii="Arial" w:hAnsi="Arial" w:cs="Arial"/>
          <w:sz w:val="24"/>
          <w:szCs w:val="24"/>
        </w:rPr>
      </w:pPr>
      <w:r w:rsidRPr="00C20605">
        <w:rPr>
          <w:rFonts w:ascii="Arial" w:hAnsi="Arial" w:cs="Arial"/>
          <w:sz w:val="24"/>
          <w:szCs w:val="24"/>
        </w:rPr>
        <w:t xml:space="preserve">1-La contraindicación de la </w:t>
      </w:r>
      <w:proofErr w:type="spellStart"/>
      <w:r w:rsidRPr="00C20605">
        <w:rPr>
          <w:rFonts w:ascii="Arial" w:hAnsi="Arial" w:cs="Arial"/>
          <w:sz w:val="24"/>
          <w:szCs w:val="24"/>
        </w:rPr>
        <w:t>colchicina-dicicloverina</w:t>
      </w:r>
      <w:proofErr w:type="spellEnd"/>
      <w:r w:rsidRPr="00C20605">
        <w:rPr>
          <w:rFonts w:ascii="Arial" w:hAnsi="Arial" w:cs="Arial"/>
          <w:sz w:val="24"/>
          <w:szCs w:val="24"/>
        </w:rPr>
        <w:t xml:space="preserve"> que podría empeorar su estado de salud </w:t>
      </w:r>
    </w:p>
    <w:p w:rsidR="00E91329" w:rsidRPr="008820C7" w:rsidRDefault="00C20605" w:rsidP="00783F3E">
      <w:pPr>
        <w:autoSpaceDE w:val="0"/>
        <w:autoSpaceDN w:val="0"/>
        <w:adjustRightInd w:val="0"/>
        <w:spacing w:line="240" w:lineRule="auto"/>
        <w:jc w:val="both"/>
        <w:rPr>
          <w:rFonts w:ascii="Arial" w:hAnsi="Arial" w:cs="Arial"/>
          <w:sz w:val="24"/>
          <w:szCs w:val="24"/>
        </w:rPr>
      </w:pPr>
      <w:r w:rsidRPr="00C20605">
        <w:rPr>
          <w:rFonts w:ascii="Arial" w:hAnsi="Arial" w:cs="Arial"/>
          <w:sz w:val="24"/>
          <w:szCs w:val="24"/>
        </w:rPr>
        <w:t xml:space="preserve">2-La idoneidad de establecer  un tratamiento con </w:t>
      </w:r>
      <w:proofErr w:type="spellStart"/>
      <w:r w:rsidRPr="00C20605">
        <w:rPr>
          <w:rFonts w:ascii="Arial" w:hAnsi="Arial" w:cs="Arial"/>
          <w:sz w:val="24"/>
          <w:szCs w:val="24"/>
        </w:rPr>
        <w:t>alopurinol</w:t>
      </w:r>
      <w:proofErr w:type="spellEnd"/>
      <w:r w:rsidRPr="00C20605">
        <w:rPr>
          <w:rFonts w:ascii="Arial" w:hAnsi="Arial" w:cs="Arial"/>
          <w:sz w:val="24"/>
          <w:szCs w:val="24"/>
        </w:rPr>
        <w:t xml:space="preserve"> </w:t>
      </w:r>
    </w:p>
    <w:p w:rsidR="005D08FC" w:rsidRPr="00F136DE" w:rsidRDefault="005D08FC" w:rsidP="005D08FC">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 xml:space="preserve">Remitimos al </w:t>
      </w:r>
      <w:r w:rsidR="00C22B69">
        <w:rPr>
          <w:rFonts w:ascii="Arial" w:hAnsi="Arial" w:cs="Arial"/>
          <w:sz w:val="24"/>
          <w:szCs w:val="24"/>
        </w:rPr>
        <w:t xml:space="preserve">paciente a su </w:t>
      </w:r>
      <w:r w:rsidRPr="00F136DE">
        <w:rPr>
          <w:rFonts w:ascii="Arial" w:hAnsi="Arial" w:cs="Arial"/>
          <w:sz w:val="24"/>
          <w:szCs w:val="24"/>
        </w:rPr>
        <w:t xml:space="preserve">médico para </w:t>
      </w:r>
      <w:r w:rsidR="00C22B69">
        <w:rPr>
          <w:rFonts w:ascii="Arial" w:hAnsi="Arial" w:cs="Arial"/>
          <w:sz w:val="24"/>
          <w:szCs w:val="24"/>
        </w:rPr>
        <w:t>que valora</w:t>
      </w:r>
      <w:r w:rsidRPr="00F136DE">
        <w:rPr>
          <w:rFonts w:ascii="Arial" w:hAnsi="Arial" w:cs="Arial"/>
          <w:sz w:val="24"/>
          <w:szCs w:val="24"/>
        </w:rPr>
        <w:t xml:space="preserve"> la prescripción de </w:t>
      </w:r>
      <w:proofErr w:type="spellStart"/>
      <w:r w:rsidRPr="00F136DE">
        <w:rPr>
          <w:rFonts w:ascii="Arial" w:hAnsi="Arial" w:cs="Arial"/>
          <w:sz w:val="24"/>
          <w:szCs w:val="24"/>
        </w:rPr>
        <w:t>colchicina</w:t>
      </w:r>
      <w:proofErr w:type="spellEnd"/>
      <w:r w:rsidRPr="00F136DE">
        <w:rPr>
          <w:rFonts w:ascii="Arial" w:hAnsi="Arial" w:cs="Arial"/>
          <w:sz w:val="24"/>
          <w:szCs w:val="24"/>
        </w:rPr>
        <w:t xml:space="preserve"> 0,5 ó 1mg en los ataques agudos de gota y la idoneidad de establecer un tratamiento </w:t>
      </w:r>
      <w:r w:rsidR="00026F74">
        <w:rPr>
          <w:rFonts w:ascii="Arial" w:hAnsi="Arial" w:cs="Arial"/>
          <w:sz w:val="24"/>
          <w:szCs w:val="24"/>
        </w:rPr>
        <w:t xml:space="preserve">preventivo </w:t>
      </w:r>
      <w:r w:rsidRPr="00F136DE">
        <w:rPr>
          <w:rFonts w:ascii="Arial" w:hAnsi="Arial" w:cs="Arial"/>
          <w:sz w:val="24"/>
          <w:szCs w:val="24"/>
        </w:rPr>
        <w:t xml:space="preserve">para espaciar </w:t>
      </w:r>
      <w:r w:rsidR="00CF66FD">
        <w:rPr>
          <w:rFonts w:ascii="Arial" w:hAnsi="Arial" w:cs="Arial"/>
          <w:sz w:val="24"/>
          <w:szCs w:val="24"/>
        </w:rPr>
        <w:t xml:space="preserve">o </w:t>
      </w:r>
      <w:r w:rsidRPr="00F136DE">
        <w:rPr>
          <w:rFonts w:ascii="Arial" w:hAnsi="Arial" w:cs="Arial"/>
          <w:sz w:val="24"/>
          <w:szCs w:val="24"/>
        </w:rPr>
        <w:t xml:space="preserve">evitar la continuidad de los mismos </w:t>
      </w:r>
      <w:r w:rsidR="00C22B69">
        <w:rPr>
          <w:rFonts w:ascii="Arial" w:hAnsi="Arial" w:cs="Arial"/>
          <w:sz w:val="24"/>
          <w:szCs w:val="24"/>
        </w:rPr>
        <w:t xml:space="preserve">y, a su </w:t>
      </w:r>
      <w:proofErr w:type="gramStart"/>
      <w:r w:rsidR="00C22B69">
        <w:rPr>
          <w:rFonts w:ascii="Arial" w:hAnsi="Arial" w:cs="Arial"/>
          <w:sz w:val="24"/>
          <w:szCs w:val="24"/>
        </w:rPr>
        <w:t>vez ,mantener</w:t>
      </w:r>
      <w:proofErr w:type="gramEnd"/>
      <w:r w:rsidR="00C22B69">
        <w:rPr>
          <w:rFonts w:ascii="Arial" w:hAnsi="Arial" w:cs="Arial"/>
          <w:sz w:val="24"/>
          <w:szCs w:val="24"/>
        </w:rPr>
        <w:t xml:space="preserve"> los niveles de ácido úrico en valores normales</w:t>
      </w:r>
      <w:r w:rsidR="00026F74">
        <w:rPr>
          <w:rFonts w:ascii="Arial" w:hAnsi="Arial" w:cs="Arial"/>
          <w:sz w:val="24"/>
          <w:szCs w:val="24"/>
        </w:rPr>
        <w:t xml:space="preserve">. Para ello contactamos telefónicamente con el médico y le exponemos el caso, sugiriendo una revisión del tratamiento tras el hallazgo de la potencial interacción con su patología de base </w:t>
      </w:r>
    </w:p>
    <w:p w:rsidR="005D08FC" w:rsidRPr="008820C7" w:rsidRDefault="00C20605" w:rsidP="005D08FC">
      <w:pPr>
        <w:autoSpaceDE w:val="0"/>
        <w:autoSpaceDN w:val="0"/>
        <w:adjustRightInd w:val="0"/>
        <w:spacing w:line="240" w:lineRule="auto"/>
        <w:jc w:val="both"/>
        <w:rPr>
          <w:rFonts w:ascii="Arial" w:hAnsi="Arial" w:cs="Arial"/>
          <w:sz w:val="24"/>
          <w:szCs w:val="24"/>
        </w:rPr>
      </w:pPr>
      <w:r w:rsidRPr="00C20605">
        <w:rPr>
          <w:rFonts w:ascii="Arial" w:hAnsi="Arial" w:cs="Arial"/>
          <w:sz w:val="24"/>
          <w:szCs w:val="24"/>
        </w:rPr>
        <w:t>RESULTADO</w:t>
      </w:r>
    </w:p>
    <w:p w:rsidR="005D08FC" w:rsidRPr="00F136DE" w:rsidRDefault="005D08FC" w:rsidP="005D08FC">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El paciente vuelve a hablar con nosotros para comentar que su médico</w:t>
      </w:r>
      <w:r w:rsidR="000F1742">
        <w:rPr>
          <w:rFonts w:ascii="Arial" w:hAnsi="Arial" w:cs="Arial"/>
          <w:sz w:val="24"/>
          <w:szCs w:val="24"/>
        </w:rPr>
        <w:t xml:space="preserve"> que ha aceptado nuestra intervención y decide</w:t>
      </w:r>
      <w:r w:rsidRPr="00F136DE">
        <w:rPr>
          <w:rFonts w:ascii="Arial" w:hAnsi="Arial" w:cs="Arial"/>
          <w:sz w:val="24"/>
          <w:szCs w:val="24"/>
        </w:rPr>
        <w:t xml:space="preserve"> modificar</w:t>
      </w:r>
      <w:r w:rsidR="000F1742">
        <w:rPr>
          <w:rFonts w:ascii="Arial" w:hAnsi="Arial" w:cs="Arial"/>
          <w:sz w:val="24"/>
          <w:szCs w:val="24"/>
        </w:rPr>
        <w:t xml:space="preserve"> el</w:t>
      </w:r>
      <w:r w:rsidRPr="00F136DE">
        <w:rPr>
          <w:rFonts w:ascii="Arial" w:hAnsi="Arial" w:cs="Arial"/>
          <w:sz w:val="24"/>
          <w:szCs w:val="24"/>
        </w:rPr>
        <w:t xml:space="preserve"> tratamiento</w:t>
      </w:r>
      <w:r w:rsidR="000F1742">
        <w:rPr>
          <w:rFonts w:ascii="Arial" w:hAnsi="Arial" w:cs="Arial"/>
          <w:sz w:val="24"/>
          <w:szCs w:val="24"/>
        </w:rPr>
        <w:t>,</w:t>
      </w:r>
      <w:r w:rsidRPr="00F136DE">
        <w:rPr>
          <w:rFonts w:ascii="Arial" w:hAnsi="Arial" w:cs="Arial"/>
          <w:sz w:val="24"/>
          <w:szCs w:val="24"/>
        </w:rPr>
        <w:t xml:space="preserve"> que queda como se refleja en la tabla 2:</w:t>
      </w:r>
    </w:p>
    <w:p w:rsidR="005D08FC" w:rsidRPr="00F136DE" w:rsidRDefault="000F1742" w:rsidP="005D08FC">
      <w:pPr>
        <w:autoSpaceDE w:val="0"/>
        <w:autoSpaceDN w:val="0"/>
        <w:adjustRightInd w:val="0"/>
        <w:spacing w:line="240" w:lineRule="auto"/>
        <w:jc w:val="both"/>
        <w:rPr>
          <w:rFonts w:ascii="Arial" w:hAnsi="Arial" w:cs="Arial"/>
          <w:sz w:val="24"/>
          <w:szCs w:val="24"/>
        </w:rPr>
      </w:pPr>
      <w:r>
        <w:rPr>
          <w:rFonts w:ascii="Arial" w:hAnsi="Arial" w:cs="Arial"/>
          <w:sz w:val="24"/>
          <w:szCs w:val="24"/>
        </w:rPr>
        <w:t>Tabla 2: nuevo estado de situación</w:t>
      </w:r>
    </w:p>
    <w:tbl>
      <w:tblPr>
        <w:tblW w:w="8720" w:type="dxa"/>
        <w:tblInd w:w="108" w:type="dxa"/>
        <w:tblLayout w:type="fixed"/>
        <w:tblLook w:val="0000"/>
      </w:tblPr>
      <w:tblGrid>
        <w:gridCol w:w="2195"/>
        <w:gridCol w:w="2443"/>
        <w:gridCol w:w="1609"/>
        <w:gridCol w:w="1373"/>
        <w:gridCol w:w="1100"/>
      </w:tblGrid>
      <w:tr w:rsidR="005D08FC" w:rsidRPr="00F136DE" w:rsidTr="006E3345">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b/>
                <w:bCs/>
                <w:sz w:val="24"/>
                <w:szCs w:val="24"/>
              </w:rPr>
              <w:t>Problema de salud</w:t>
            </w:r>
          </w:p>
        </w:tc>
        <w:tc>
          <w:tcPr>
            <w:tcW w:w="244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b/>
                <w:bCs/>
                <w:sz w:val="24"/>
                <w:szCs w:val="24"/>
              </w:rPr>
              <w:t>Principio activo</w:t>
            </w:r>
          </w:p>
        </w:tc>
        <w:tc>
          <w:tcPr>
            <w:tcW w:w="1609"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b/>
                <w:bCs/>
                <w:sz w:val="24"/>
                <w:szCs w:val="24"/>
              </w:rPr>
              <w:t>Dosis por presentación</w:t>
            </w:r>
          </w:p>
        </w:tc>
        <w:tc>
          <w:tcPr>
            <w:tcW w:w="137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b/>
                <w:bCs/>
                <w:sz w:val="24"/>
                <w:szCs w:val="24"/>
              </w:rPr>
              <w:t>Pauta médica</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b/>
                <w:bCs/>
                <w:sz w:val="24"/>
                <w:szCs w:val="24"/>
              </w:rPr>
              <w:t>Dosis diaria total</w:t>
            </w:r>
          </w:p>
        </w:tc>
      </w:tr>
      <w:tr w:rsidR="005D08FC" w:rsidRPr="00F136DE" w:rsidTr="006E3345">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 xml:space="preserve">Miastenia </w:t>
            </w:r>
            <w:proofErr w:type="spellStart"/>
            <w:r w:rsidRPr="00F136DE">
              <w:rPr>
                <w:rFonts w:ascii="Arial" w:hAnsi="Arial" w:cs="Arial"/>
                <w:sz w:val="24"/>
                <w:szCs w:val="24"/>
              </w:rPr>
              <w:t>gravis</w:t>
            </w:r>
            <w:proofErr w:type="spellEnd"/>
          </w:p>
        </w:tc>
        <w:tc>
          <w:tcPr>
            <w:tcW w:w="244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proofErr w:type="spellStart"/>
            <w:r w:rsidRPr="00F136DE">
              <w:rPr>
                <w:rFonts w:ascii="Arial" w:hAnsi="Arial" w:cs="Arial"/>
                <w:sz w:val="24"/>
                <w:szCs w:val="24"/>
              </w:rPr>
              <w:t>Piridostigmina</w:t>
            </w:r>
            <w:proofErr w:type="spellEnd"/>
            <w:r w:rsidRPr="00F136DE">
              <w:rPr>
                <w:rFonts w:ascii="Arial" w:hAnsi="Arial" w:cs="Arial"/>
                <w:sz w:val="24"/>
                <w:szCs w:val="24"/>
              </w:rPr>
              <w:t xml:space="preserve"> </w:t>
            </w:r>
          </w:p>
        </w:tc>
        <w:tc>
          <w:tcPr>
            <w:tcW w:w="1609"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60mg</w:t>
            </w:r>
          </w:p>
        </w:tc>
        <w:tc>
          <w:tcPr>
            <w:tcW w:w="137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1-1-1-1</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240mg</w:t>
            </w:r>
          </w:p>
        </w:tc>
      </w:tr>
      <w:tr w:rsidR="005D08FC" w:rsidRPr="00F136DE" w:rsidTr="006E3345">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p>
        </w:tc>
        <w:tc>
          <w:tcPr>
            <w:tcW w:w="244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proofErr w:type="spellStart"/>
            <w:r w:rsidRPr="00F136DE">
              <w:rPr>
                <w:rFonts w:ascii="Arial" w:hAnsi="Arial" w:cs="Arial"/>
                <w:sz w:val="24"/>
                <w:szCs w:val="24"/>
              </w:rPr>
              <w:t>Clopidogrel</w:t>
            </w:r>
            <w:proofErr w:type="spellEnd"/>
            <w:r w:rsidRPr="00F136DE">
              <w:rPr>
                <w:rFonts w:ascii="Arial" w:hAnsi="Arial" w:cs="Arial"/>
                <w:sz w:val="24"/>
                <w:szCs w:val="24"/>
              </w:rPr>
              <w:t xml:space="preserve"> </w:t>
            </w:r>
          </w:p>
        </w:tc>
        <w:tc>
          <w:tcPr>
            <w:tcW w:w="1609"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75mg</w:t>
            </w:r>
          </w:p>
        </w:tc>
        <w:tc>
          <w:tcPr>
            <w:tcW w:w="137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1-0-0</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75mg</w:t>
            </w:r>
          </w:p>
        </w:tc>
      </w:tr>
      <w:tr w:rsidR="005D08FC" w:rsidRPr="00F136DE" w:rsidTr="006E3345">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Protector estómago</w:t>
            </w:r>
          </w:p>
        </w:tc>
        <w:tc>
          <w:tcPr>
            <w:tcW w:w="244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proofErr w:type="spellStart"/>
            <w:r w:rsidRPr="00F136DE">
              <w:rPr>
                <w:rFonts w:ascii="Arial" w:hAnsi="Arial" w:cs="Arial"/>
                <w:sz w:val="24"/>
                <w:szCs w:val="24"/>
              </w:rPr>
              <w:t>Ranitidina</w:t>
            </w:r>
            <w:proofErr w:type="spellEnd"/>
            <w:r w:rsidRPr="00F136DE">
              <w:rPr>
                <w:rFonts w:ascii="Arial" w:hAnsi="Arial" w:cs="Arial"/>
                <w:sz w:val="24"/>
                <w:szCs w:val="24"/>
              </w:rPr>
              <w:t xml:space="preserve"> </w:t>
            </w:r>
          </w:p>
        </w:tc>
        <w:tc>
          <w:tcPr>
            <w:tcW w:w="1609"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150mg</w:t>
            </w:r>
          </w:p>
        </w:tc>
        <w:tc>
          <w:tcPr>
            <w:tcW w:w="137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1-0-0-</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150mg</w:t>
            </w:r>
          </w:p>
        </w:tc>
      </w:tr>
      <w:tr w:rsidR="005D08FC" w:rsidRPr="00F136DE" w:rsidTr="006E3345">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Hiperuricemia</w:t>
            </w:r>
          </w:p>
        </w:tc>
        <w:tc>
          <w:tcPr>
            <w:tcW w:w="244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proofErr w:type="spellStart"/>
            <w:r w:rsidRPr="00F136DE">
              <w:rPr>
                <w:rFonts w:ascii="Arial" w:hAnsi="Arial" w:cs="Arial"/>
                <w:sz w:val="24"/>
                <w:szCs w:val="24"/>
              </w:rPr>
              <w:t>Alopurinol</w:t>
            </w:r>
            <w:proofErr w:type="spellEnd"/>
            <w:r w:rsidRPr="00F136DE">
              <w:rPr>
                <w:rFonts w:ascii="Arial" w:hAnsi="Arial" w:cs="Arial"/>
                <w:sz w:val="24"/>
                <w:szCs w:val="24"/>
              </w:rPr>
              <w:t xml:space="preserve"> </w:t>
            </w:r>
          </w:p>
        </w:tc>
        <w:tc>
          <w:tcPr>
            <w:tcW w:w="1609"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100mg</w:t>
            </w:r>
          </w:p>
        </w:tc>
        <w:tc>
          <w:tcPr>
            <w:tcW w:w="137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0-1-0</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100mg</w:t>
            </w:r>
          </w:p>
        </w:tc>
      </w:tr>
      <w:tr w:rsidR="005D08FC" w:rsidRPr="00F136DE" w:rsidTr="006E3345">
        <w:trPr>
          <w:trHeight w:val="1"/>
        </w:trPr>
        <w:tc>
          <w:tcPr>
            <w:tcW w:w="2195"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p>
        </w:tc>
        <w:tc>
          <w:tcPr>
            <w:tcW w:w="244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proofErr w:type="spellStart"/>
            <w:r w:rsidRPr="00F136DE">
              <w:rPr>
                <w:rFonts w:ascii="Arial" w:hAnsi="Arial" w:cs="Arial"/>
                <w:sz w:val="24"/>
                <w:szCs w:val="24"/>
              </w:rPr>
              <w:t>Colchicina</w:t>
            </w:r>
            <w:proofErr w:type="spellEnd"/>
            <w:r w:rsidRPr="00F136DE">
              <w:rPr>
                <w:rFonts w:ascii="Arial" w:hAnsi="Arial" w:cs="Arial"/>
                <w:sz w:val="24"/>
                <w:szCs w:val="24"/>
              </w:rPr>
              <w:t xml:space="preserve"> 0,5mg</w:t>
            </w:r>
          </w:p>
        </w:tc>
        <w:tc>
          <w:tcPr>
            <w:tcW w:w="1609"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0,5mg</w:t>
            </w:r>
          </w:p>
        </w:tc>
        <w:tc>
          <w:tcPr>
            <w:tcW w:w="1373"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2 en el ataque agudo</w:t>
            </w:r>
          </w:p>
        </w:tc>
        <w:tc>
          <w:tcPr>
            <w:tcW w:w="1100" w:type="dxa"/>
            <w:tcBorders>
              <w:top w:val="single" w:sz="3" w:space="0" w:color="000000"/>
              <w:left w:val="single" w:sz="3" w:space="0" w:color="000000"/>
              <w:bottom w:val="single" w:sz="3" w:space="0" w:color="000000"/>
              <w:right w:val="single" w:sz="3" w:space="0" w:color="000000"/>
            </w:tcBorders>
            <w:shd w:val="clear" w:color="000000" w:fill="FFFFFF"/>
          </w:tcPr>
          <w:p w:rsidR="005D08FC" w:rsidRPr="00F136DE" w:rsidRDefault="005D08FC" w:rsidP="006E3345">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1mg</w:t>
            </w:r>
          </w:p>
        </w:tc>
      </w:tr>
    </w:tbl>
    <w:p w:rsidR="005D08FC" w:rsidRPr="00F136DE" w:rsidRDefault="005D08FC" w:rsidP="005D08FC">
      <w:pPr>
        <w:autoSpaceDE w:val="0"/>
        <w:autoSpaceDN w:val="0"/>
        <w:adjustRightInd w:val="0"/>
        <w:spacing w:line="240" w:lineRule="auto"/>
        <w:jc w:val="both"/>
        <w:rPr>
          <w:rFonts w:ascii="Arial" w:hAnsi="Arial" w:cs="Arial"/>
          <w:sz w:val="24"/>
          <w:szCs w:val="24"/>
        </w:rPr>
      </w:pPr>
    </w:p>
    <w:p w:rsidR="005D08FC" w:rsidRPr="00F136DE" w:rsidRDefault="000F1742" w:rsidP="005D08FC">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El paciente </w:t>
      </w:r>
      <w:r w:rsidR="0006683C">
        <w:rPr>
          <w:rFonts w:ascii="Arial" w:hAnsi="Arial" w:cs="Arial"/>
          <w:sz w:val="24"/>
          <w:szCs w:val="24"/>
        </w:rPr>
        <w:t>n</w:t>
      </w:r>
      <w:r w:rsidR="005D08FC" w:rsidRPr="00F136DE">
        <w:rPr>
          <w:rFonts w:ascii="Arial" w:hAnsi="Arial" w:cs="Arial"/>
          <w:sz w:val="24"/>
          <w:szCs w:val="24"/>
        </w:rPr>
        <w:t>os agradece la intervención y dice que pasará a comentar cómo se encuentra.</w:t>
      </w:r>
    </w:p>
    <w:p w:rsidR="00654E2D" w:rsidRPr="008820C7" w:rsidRDefault="005D08FC" w:rsidP="005D08FC">
      <w:pPr>
        <w:autoSpaceDE w:val="0"/>
        <w:autoSpaceDN w:val="0"/>
        <w:adjustRightInd w:val="0"/>
        <w:spacing w:line="240" w:lineRule="auto"/>
        <w:jc w:val="both"/>
        <w:rPr>
          <w:rFonts w:ascii="Arial" w:hAnsi="Arial" w:cs="Arial"/>
          <w:sz w:val="24"/>
          <w:szCs w:val="24"/>
        </w:rPr>
      </w:pPr>
      <w:r w:rsidRPr="008820C7">
        <w:rPr>
          <w:rFonts w:ascii="Arial" w:hAnsi="Arial" w:cs="Arial"/>
          <w:sz w:val="24"/>
          <w:szCs w:val="24"/>
        </w:rPr>
        <w:t xml:space="preserve">Tras la intervención farmacéutica vemos que el tratamiento del paciente se ha modificado. </w:t>
      </w:r>
      <w:r w:rsidR="00C20605" w:rsidRPr="00C20605">
        <w:rPr>
          <w:rFonts w:ascii="Arial" w:hAnsi="Arial" w:cs="Arial"/>
          <w:sz w:val="24"/>
          <w:szCs w:val="24"/>
        </w:rPr>
        <w:t xml:space="preserve">Ha sustituido </w:t>
      </w:r>
      <w:proofErr w:type="spellStart"/>
      <w:r w:rsidR="00C20605" w:rsidRPr="00C20605">
        <w:rPr>
          <w:rFonts w:ascii="Arial" w:hAnsi="Arial" w:cs="Arial"/>
          <w:sz w:val="24"/>
          <w:szCs w:val="24"/>
        </w:rPr>
        <w:t>colchicina</w:t>
      </w:r>
      <w:proofErr w:type="spellEnd"/>
      <w:r w:rsidR="00C20605" w:rsidRPr="00C20605">
        <w:rPr>
          <w:rFonts w:ascii="Arial" w:hAnsi="Arial" w:cs="Arial"/>
          <w:sz w:val="24"/>
          <w:szCs w:val="24"/>
        </w:rPr>
        <w:t xml:space="preserve"> 0,5mg-dicloverina 5mg por </w:t>
      </w:r>
      <w:proofErr w:type="spellStart"/>
      <w:r w:rsidR="00C20605" w:rsidRPr="00C20605">
        <w:rPr>
          <w:rFonts w:ascii="Arial" w:hAnsi="Arial" w:cs="Arial"/>
          <w:sz w:val="24"/>
          <w:szCs w:val="24"/>
        </w:rPr>
        <w:t>Colchicina</w:t>
      </w:r>
      <w:proofErr w:type="spellEnd"/>
      <w:r w:rsidR="00C20605" w:rsidRPr="00C20605">
        <w:rPr>
          <w:rFonts w:ascii="Arial" w:hAnsi="Arial" w:cs="Arial"/>
          <w:sz w:val="24"/>
          <w:szCs w:val="24"/>
        </w:rPr>
        <w:t xml:space="preserve"> 0,5mg y añadido el </w:t>
      </w:r>
      <w:proofErr w:type="spellStart"/>
      <w:r w:rsidR="00C20605" w:rsidRPr="00C20605">
        <w:rPr>
          <w:rFonts w:ascii="Arial" w:hAnsi="Arial" w:cs="Arial"/>
          <w:sz w:val="24"/>
          <w:szCs w:val="24"/>
        </w:rPr>
        <w:t>alopurinol</w:t>
      </w:r>
      <w:proofErr w:type="spellEnd"/>
      <w:r w:rsidR="00C20605" w:rsidRPr="00C20605">
        <w:rPr>
          <w:rFonts w:ascii="Arial" w:hAnsi="Arial" w:cs="Arial"/>
          <w:sz w:val="24"/>
          <w:szCs w:val="24"/>
        </w:rPr>
        <w:t xml:space="preserve"> 100mg para  regular los niveles de ácido úrico.</w:t>
      </w:r>
    </w:p>
    <w:p w:rsidR="00E4697B" w:rsidRPr="008820C7" w:rsidRDefault="005D08FC" w:rsidP="005D08FC">
      <w:pPr>
        <w:autoSpaceDE w:val="0"/>
        <w:autoSpaceDN w:val="0"/>
        <w:adjustRightInd w:val="0"/>
        <w:spacing w:line="240" w:lineRule="auto"/>
        <w:jc w:val="both"/>
        <w:rPr>
          <w:rFonts w:ascii="Arial" w:hAnsi="Arial" w:cs="Arial"/>
          <w:sz w:val="24"/>
          <w:szCs w:val="24"/>
        </w:rPr>
      </w:pPr>
      <w:r w:rsidRPr="008820C7">
        <w:rPr>
          <w:rFonts w:ascii="Arial" w:hAnsi="Arial" w:cs="Arial"/>
          <w:sz w:val="24"/>
          <w:szCs w:val="24"/>
        </w:rPr>
        <w:t>En cuanto a  la medicación que utilizaba de forma crónica no hay variación.</w:t>
      </w:r>
    </w:p>
    <w:p w:rsidR="00B16FD6" w:rsidRPr="008820C7" w:rsidRDefault="00C20605" w:rsidP="005D08FC">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Pasado un tiempo, el paciente nos comenta que no ha vuelto a tener un ataque agudo de gota y que mantiene controlados sus niveles de ácido úrico</w:t>
      </w:r>
      <w:r w:rsidR="005D08FC" w:rsidRPr="008820C7">
        <w:rPr>
          <w:rFonts w:ascii="Arial" w:hAnsi="Arial" w:cs="Arial"/>
          <w:sz w:val="24"/>
          <w:szCs w:val="24"/>
        </w:rPr>
        <w:t>.</w:t>
      </w:r>
    </w:p>
    <w:p w:rsidR="005D08FC" w:rsidRPr="008820C7" w:rsidRDefault="00C20605" w:rsidP="005D08FC">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Su miastenia está estable y no refiere nuevos síntomas.</w:t>
      </w:r>
    </w:p>
    <w:p w:rsidR="005D08FC" w:rsidRPr="00F136DE" w:rsidRDefault="005D08FC" w:rsidP="005D08FC">
      <w:pPr>
        <w:autoSpaceDE w:val="0"/>
        <w:autoSpaceDN w:val="0"/>
        <w:adjustRightInd w:val="0"/>
        <w:spacing w:line="240" w:lineRule="auto"/>
        <w:jc w:val="both"/>
        <w:rPr>
          <w:rFonts w:ascii="Arial" w:hAnsi="Arial" w:cs="Arial"/>
          <w:sz w:val="24"/>
          <w:szCs w:val="24"/>
        </w:rPr>
      </w:pPr>
    </w:p>
    <w:p w:rsidR="005D08FC" w:rsidRPr="00F136DE" w:rsidRDefault="005D08FC" w:rsidP="005D08FC">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 xml:space="preserve">DISCUSIÓN DEL CASO </w:t>
      </w:r>
    </w:p>
    <w:p w:rsidR="005D08FC" w:rsidRPr="00F136DE" w:rsidRDefault="005D08FC" w:rsidP="005D08FC">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Nos encontramos ante una potencial reacción adversa con agravamiento de una enfermedad de base, como la miastenia, al tratar un proceso agudo, la gota.</w:t>
      </w:r>
    </w:p>
    <w:p w:rsidR="005D08FC" w:rsidRPr="008820C7" w:rsidRDefault="005D08FC" w:rsidP="005D08FC">
      <w:pPr>
        <w:autoSpaceDE w:val="0"/>
        <w:autoSpaceDN w:val="0"/>
        <w:adjustRightInd w:val="0"/>
        <w:spacing w:line="240" w:lineRule="auto"/>
        <w:jc w:val="both"/>
        <w:rPr>
          <w:rFonts w:ascii="Arial" w:hAnsi="Arial" w:cs="Arial"/>
          <w:sz w:val="24"/>
          <w:szCs w:val="24"/>
        </w:rPr>
      </w:pPr>
      <w:r w:rsidRPr="00F136DE">
        <w:rPr>
          <w:rFonts w:ascii="Arial" w:hAnsi="Arial" w:cs="Arial"/>
          <w:sz w:val="24"/>
          <w:szCs w:val="24"/>
        </w:rPr>
        <w:t xml:space="preserve"> Es una situación que requiere mucha atención y conocimiento de la enfermedad del paciente ya que en la mayoría de las </w:t>
      </w:r>
      <w:r w:rsidRPr="008820C7">
        <w:rPr>
          <w:rFonts w:ascii="Arial" w:hAnsi="Arial" w:cs="Arial"/>
          <w:sz w:val="24"/>
          <w:szCs w:val="24"/>
        </w:rPr>
        <w:t xml:space="preserve">ocasiones percibimos interacciones entre principios activos pero en este caso </w:t>
      </w:r>
      <w:r w:rsidR="00C20605" w:rsidRPr="00C20605">
        <w:rPr>
          <w:rFonts w:ascii="Arial" w:hAnsi="Arial" w:cs="Arial"/>
          <w:sz w:val="24"/>
          <w:szCs w:val="24"/>
        </w:rPr>
        <w:t>es el inicio de tratamiento con</w:t>
      </w:r>
      <w:r w:rsidR="00B05AAD" w:rsidRPr="008820C7">
        <w:rPr>
          <w:rFonts w:ascii="Arial" w:hAnsi="Arial" w:cs="Arial"/>
          <w:sz w:val="24"/>
          <w:szCs w:val="24"/>
        </w:rPr>
        <w:t xml:space="preserve"> un</w:t>
      </w:r>
      <w:r w:rsidR="00C20605">
        <w:rPr>
          <w:rFonts w:ascii="Arial" w:hAnsi="Arial" w:cs="Arial"/>
          <w:sz w:val="24"/>
          <w:szCs w:val="24"/>
        </w:rPr>
        <w:t xml:space="preserve"> nuevo medicamento el que puede empeorar su proceso crónico.</w:t>
      </w:r>
    </w:p>
    <w:p w:rsidR="005D08FC" w:rsidRPr="008820C7" w:rsidRDefault="00C20605" w:rsidP="005D08FC">
      <w:pPr>
        <w:autoSpaceDE w:val="0"/>
        <w:autoSpaceDN w:val="0"/>
        <w:adjustRightInd w:val="0"/>
        <w:spacing w:line="240" w:lineRule="auto"/>
        <w:jc w:val="both"/>
        <w:rPr>
          <w:rFonts w:ascii="Arial" w:hAnsi="Arial" w:cs="Arial"/>
          <w:sz w:val="24"/>
          <w:szCs w:val="24"/>
        </w:rPr>
      </w:pPr>
      <w:r>
        <w:rPr>
          <w:rFonts w:ascii="Arial" w:hAnsi="Arial" w:cs="Arial"/>
          <w:sz w:val="24"/>
          <w:szCs w:val="24"/>
        </w:rPr>
        <w:t>En este caso el empeoramiento de la miastenia no se ha producido y debido a la intervención desde la farmacia se ha resuelto el potencial problema de salud. Además hemos conseguido, tras la remisión al médico, que se establezca un tratamiento adecuado para la hiperuricemia, evitando constantes ataques agudos de gota.</w:t>
      </w:r>
    </w:p>
    <w:p w:rsidR="0006683C" w:rsidRPr="00CB4261" w:rsidDel="0006683C" w:rsidRDefault="00C20605" w:rsidP="0006683C">
      <w:pPr>
        <w:autoSpaceDE w:val="0"/>
        <w:autoSpaceDN w:val="0"/>
        <w:adjustRightInd w:val="0"/>
        <w:spacing w:line="240" w:lineRule="auto"/>
        <w:ind w:firstLine="708"/>
        <w:jc w:val="both"/>
        <w:rPr>
          <w:rFonts w:ascii="Arial" w:hAnsi="Arial" w:cs="Arial"/>
          <w:sz w:val="24"/>
          <w:szCs w:val="24"/>
        </w:rPr>
      </w:pPr>
      <w:r>
        <w:rPr>
          <w:rFonts w:ascii="Arial" w:hAnsi="Arial" w:cs="Arial"/>
          <w:sz w:val="24"/>
          <w:szCs w:val="24"/>
        </w:rPr>
        <w:t xml:space="preserve">El farmacéutico puede desempeñar un papel importante en el control y tratamiento de esta enfermedad </w:t>
      </w:r>
      <w:r w:rsidRPr="00C20605">
        <w:rPr>
          <w:rFonts w:ascii="Arial" w:hAnsi="Arial" w:cs="Arial"/>
          <w:sz w:val="24"/>
          <w:szCs w:val="24"/>
        </w:rPr>
        <w:t>evitando y previniendo problemas de efectividad y seguridad y en la adecuación y mantenimiento de hábitos de vida saludables</w:t>
      </w:r>
    </w:p>
    <w:p w:rsidR="005D08FC" w:rsidRPr="00F136DE" w:rsidRDefault="005D08FC" w:rsidP="005D08FC">
      <w:pPr>
        <w:autoSpaceDE w:val="0"/>
        <w:autoSpaceDN w:val="0"/>
        <w:adjustRightInd w:val="0"/>
        <w:spacing w:line="240" w:lineRule="auto"/>
        <w:ind w:firstLine="708"/>
        <w:jc w:val="both"/>
        <w:rPr>
          <w:rFonts w:ascii="Arial" w:hAnsi="Arial" w:cs="Arial"/>
          <w:sz w:val="24"/>
          <w:szCs w:val="24"/>
        </w:rPr>
      </w:pPr>
    </w:p>
    <w:p w:rsidR="005D08FC" w:rsidRPr="008820C7" w:rsidRDefault="005D08FC" w:rsidP="005D08FC">
      <w:pPr>
        <w:autoSpaceDE w:val="0"/>
        <w:autoSpaceDN w:val="0"/>
        <w:adjustRightInd w:val="0"/>
        <w:spacing w:line="240" w:lineRule="auto"/>
        <w:jc w:val="both"/>
        <w:rPr>
          <w:rFonts w:ascii="Arial" w:hAnsi="Arial" w:cs="Arial"/>
          <w:sz w:val="24"/>
          <w:szCs w:val="24"/>
        </w:rPr>
      </w:pPr>
      <w:r w:rsidRPr="008820C7">
        <w:rPr>
          <w:rFonts w:ascii="Arial" w:hAnsi="Arial" w:cs="Arial"/>
          <w:sz w:val="24"/>
          <w:szCs w:val="24"/>
        </w:rPr>
        <w:t>BIBLIOGRAFÍA</w:t>
      </w:r>
    </w:p>
    <w:p w:rsidR="005D08FC" w:rsidRPr="008820C7" w:rsidRDefault="005D08FC" w:rsidP="005D08FC">
      <w:pPr>
        <w:autoSpaceDE w:val="0"/>
        <w:autoSpaceDN w:val="0"/>
        <w:adjustRightInd w:val="0"/>
        <w:spacing w:line="240" w:lineRule="auto"/>
        <w:jc w:val="both"/>
        <w:rPr>
          <w:rFonts w:ascii="Arial" w:hAnsi="Arial" w:cs="Arial"/>
          <w:sz w:val="24"/>
          <w:szCs w:val="24"/>
        </w:rPr>
      </w:pPr>
    </w:p>
    <w:p w:rsidR="005D08FC" w:rsidRPr="008820C7" w:rsidRDefault="00C20605" w:rsidP="005D08FC">
      <w:pPr>
        <w:pStyle w:val="Ttulo3"/>
        <w:spacing w:line="240" w:lineRule="auto"/>
        <w:jc w:val="both"/>
        <w:rPr>
          <w:rFonts w:ascii="Arial" w:hAnsi="Arial" w:cs="Arial"/>
          <w:b w:val="0"/>
          <w:color w:val="auto"/>
          <w:sz w:val="24"/>
          <w:szCs w:val="24"/>
        </w:rPr>
      </w:pPr>
      <w:r w:rsidRPr="00C20605">
        <w:rPr>
          <w:rFonts w:ascii="Arial" w:hAnsi="Arial" w:cs="Arial"/>
          <w:b w:val="0"/>
          <w:bCs w:val="0"/>
          <w:color w:val="auto"/>
          <w:sz w:val="24"/>
          <w:szCs w:val="24"/>
        </w:rPr>
        <w:t xml:space="preserve">1-Orestes Herrera L. Miastenia  </w:t>
      </w:r>
      <w:proofErr w:type="spellStart"/>
      <w:r w:rsidRPr="00C20605">
        <w:rPr>
          <w:rFonts w:ascii="Arial" w:hAnsi="Arial" w:cs="Arial"/>
          <w:b w:val="0"/>
          <w:bCs w:val="0"/>
          <w:color w:val="auto"/>
          <w:sz w:val="24"/>
          <w:szCs w:val="24"/>
        </w:rPr>
        <w:t>Gravis</w:t>
      </w:r>
      <w:proofErr w:type="spellEnd"/>
      <w:r w:rsidRPr="00C20605">
        <w:rPr>
          <w:rFonts w:ascii="Arial" w:hAnsi="Arial" w:cs="Arial"/>
          <w:b w:val="0"/>
          <w:bCs w:val="0"/>
          <w:color w:val="auto"/>
          <w:sz w:val="24"/>
          <w:szCs w:val="24"/>
        </w:rPr>
        <w:t xml:space="preserve">: </w:t>
      </w:r>
      <w:r w:rsidR="00EE0D53">
        <w:rPr>
          <w:rFonts w:ascii="Arial" w:hAnsi="Arial" w:cs="Arial"/>
          <w:b w:val="0"/>
          <w:bCs w:val="0"/>
          <w:color w:val="auto"/>
          <w:sz w:val="24"/>
          <w:szCs w:val="24"/>
        </w:rPr>
        <w:t>D</w:t>
      </w:r>
      <w:r w:rsidRPr="00C20605">
        <w:rPr>
          <w:rFonts w:ascii="Arial" w:hAnsi="Arial" w:cs="Arial"/>
          <w:b w:val="0"/>
          <w:bCs w:val="0"/>
          <w:color w:val="auto"/>
          <w:sz w:val="24"/>
          <w:szCs w:val="24"/>
        </w:rPr>
        <w:t>iagnóstico y tratamiento.</w:t>
      </w:r>
      <w:r w:rsidRPr="00C20605">
        <w:rPr>
          <w:rFonts w:ascii="Arial" w:hAnsi="Arial" w:cs="Arial"/>
          <w:b w:val="0"/>
          <w:color w:val="auto"/>
          <w:sz w:val="24"/>
          <w:szCs w:val="24"/>
        </w:rPr>
        <w:t xml:space="preserve"> Revista Archivo Médico de Camagüey. Camagüey. 2009</w:t>
      </w:r>
      <w:proofErr w:type="gramStart"/>
      <w:r w:rsidRPr="00C20605">
        <w:rPr>
          <w:rFonts w:ascii="Arial" w:hAnsi="Arial" w:cs="Arial"/>
          <w:b w:val="0"/>
          <w:color w:val="auto"/>
          <w:sz w:val="24"/>
          <w:szCs w:val="24"/>
        </w:rPr>
        <w:t>;3</w:t>
      </w:r>
      <w:proofErr w:type="gramEnd"/>
      <w:r w:rsidRPr="00C20605">
        <w:rPr>
          <w:rFonts w:ascii="Arial" w:hAnsi="Arial" w:cs="Arial"/>
          <w:b w:val="0"/>
          <w:color w:val="auto"/>
          <w:sz w:val="24"/>
          <w:szCs w:val="24"/>
        </w:rPr>
        <w:t xml:space="preserve"> (5)</w:t>
      </w:r>
    </w:p>
    <w:p w:rsidR="005D08FC" w:rsidRPr="008820C7" w:rsidRDefault="00C20605" w:rsidP="005D08FC">
      <w:pPr>
        <w:pStyle w:val="Ttulo2"/>
        <w:jc w:val="both"/>
        <w:rPr>
          <w:rFonts w:ascii="Arial" w:hAnsi="Arial" w:cs="Arial"/>
          <w:b w:val="0"/>
          <w:sz w:val="24"/>
          <w:szCs w:val="24"/>
        </w:rPr>
      </w:pPr>
      <w:r w:rsidRPr="00C20605">
        <w:rPr>
          <w:rFonts w:ascii="Arial" w:hAnsi="Arial" w:cs="Arial"/>
          <w:b w:val="0"/>
          <w:sz w:val="24"/>
          <w:szCs w:val="24"/>
        </w:rPr>
        <w:t xml:space="preserve">2- Pascual </w:t>
      </w:r>
      <w:proofErr w:type="spellStart"/>
      <w:r w:rsidRPr="00C20605">
        <w:rPr>
          <w:rFonts w:ascii="Arial" w:hAnsi="Arial" w:cs="Arial"/>
          <w:b w:val="0"/>
          <w:sz w:val="24"/>
          <w:szCs w:val="24"/>
        </w:rPr>
        <w:t>Gómez.E</w:t>
      </w:r>
      <w:proofErr w:type="spellEnd"/>
      <w:r w:rsidRPr="00C20605">
        <w:rPr>
          <w:rFonts w:ascii="Arial" w:hAnsi="Arial" w:cs="Arial"/>
          <w:b w:val="0"/>
          <w:sz w:val="24"/>
          <w:szCs w:val="24"/>
        </w:rPr>
        <w:t>.</w:t>
      </w:r>
      <w:r w:rsidR="00EE0D53">
        <w:rPr>
          <w:rFonts w:ascii="Arial" w:hAnsi="Arial" w:cs="Arial"/>
          <w:b w:val="0"/>
          <w:sz w:val="24"/>
          <w:szCs w:val="24"/>
        </w:rPr>
        <w:t xml:space="preserve"> </w:t>
      </w:r>
      <w:r w:rsidRPr="00C20605">
        <w:rPr>
          <w:rFonts w:ascii="Arial" w:hAnsi="Arial" w:cs="Arial"/>
          <w:b w:val="0"/>
          <w:sz w:val="24"/>
          <w:szCs w:val="24"/>
        </w:rPr>
        <w:t>Hiperuricemia y gota.</w:t>
      </w:r>
      <w:r w:rsidR="00EE0D53">
        <w:rPr>
          <w:rFonts w:ascii="Arial" w:hAnsi="Arial" w:cs="Arial"/>
          <w:b w:val="0"/>
          <w:sz w:val="24"/>
          <w:szCs w:val="24"/>
        </w:rPr>
        <w:t xml:space="preserve"> </w:t>
      </w:r>
      <w:r w:rsidRPr="00C20605">
        <w:rPr>
          <w:rFonts w:ascii="Arial" w:hAnsi="Arial" w:cs="Arial"/>
          <w:b w:val="0"/>
          <w:sz w:val="24"/>
          <w:szCs w:val="24"/>
        </w:rPr>
        <w:t>IT del Sistema Nacional de Salud.2009</w:t>
      </w:r>
      <w:proofErr w:type="gramStart"/>
      <w:r w:rsidRPr="00C20605">
        <w:rPr>
          <w:rFonts w:ascii="Arial" w:hAnsi="Arial" w:cs="Arial"/>
          <w:b w:val="0"/>
          <w:sz w:val="24"/>
          <w:szCs w:val="24"/>
        </w:rPr>
        <w:t>;33</w:t>
      </w:r>
      <w:proofErr w:type="gramEnd"/>
      <w:r w:rsidRPr="00C20605">
        <w:rPr>
          <w:rFonts w:ascii="Arial" w:hAnsi="Arial" w:cs="Arial"/>
          <w:b w:val="0"/>
          <w:sz w:val="24"/>
          <w:szCs w:val="24"/>
        </w:rPr>
        <w:t xml:space="preserve"> (4)110-115</w:t>
      </w:r>
    </w:p>
    <w:p w:rsidR="00EE0D53" w:rsidRPr="0006683C" w:rsidRDefault="00CB4261" w:rsidP="005D08FC">
      <w:pPr>
        <w:tabs>
          <w:tab w:val="left" w:pos="2715"/>
        </w:tabs>
        <w:spacing w:line="240" w:lineRule="auto"/>
        <w:jc w:val="both"/>
        <w:rPr>
          <w:rFonts w:ascii="Arial" w:hAnsi="Arial" w:cs="Arial"/>
          <w:sz w:val="24"/>
          <w:szCs w:val="24"/>
        </w:rPr>
      </w:pPr>
      <w:proofErr w:type="gramStart"/>
      <w:r w:rsidRPr="00CB4261">
        <w:rPr>
          <w:rFonts w:ascii="Arial" w:hAnsi="Arial" w:cs="Arial"/>
          <w:sz w:val="24"/>
          <w:szCs w:val="24"/>
          <w:lang w:val="en-US"/>
        </w:rPr>
        <w:t>3-</w:t>
      </w:r>
      <w:r w:rsidR="00AF4095">
        <w:rPr>
          <w:rFonts w:ascii="Arial" w:hAnsi="Arial" w:cs="Arial"/>
          <w:sz w:val="24"/>
          <w:szCs w:val="24"/>
          <w:lang w:val="en-US"/>
        </w:rPr>
        <w:t>NIH.</w:t>
      </w:r>
      <w:proofErr w:type="gramEnd"/>
      <w:r w:rsidR="00AF4095">
        <w:rPr>
          <w:rFonts w:ascii="Arial" w:hAnsi="Arial" w:cs="Arial"/>
          <w:sz w:val="24"/>
          <w:szCs w:val="24"/>
          <w:lang w:val="en-US"/>
        </w:rPr>
        <w:t xml:space="preserve"> </w:t>
      </w:r>
      <w:proofErr w:type="gramStart"/>
      <w:r w:rsidRPr="00CB4261">
        <w:rPr>
          <w:rFonts w:ascii="Arial" w:hAnsi="Arial" w:cs="Arial"/>
          <w:sz w:val="24"/>
          <w:szCs w:val="24"/>
          <w:lang w:val="en-US"/>
        </w:rPr>
        <w:t>National Institute of Neurological Disorders and Stroke.</w:t>
      </w:r>
      <w:proofErr w:type="gramEnd"/>
      <w:r w:rsidRPr="00CB4261">
        <w:rPr>
          <w:rFonts w:ascii="Arial" w:hAnsi="Arial" w:cs="Arial"/>
          <w:sz w:val="24"/>
          <w:szCs w:val="24"/>
          <w:lang w:val="en-US"/>
        </w:rPr>
        <w:t xml:space="preserve"> </w:t>
      </w:r>
      <w:r w:rsidRPr="0006683C">
        <w:rPr>
          <w:rFonts w:ascii="Arial" w:hAnsi="Arial" w:cs="Arial"/>
          <w:sz w:val="24"/>
          <w:szCs w:val="24"/>
        </w:rPr>
        <w:t xml:space="preserve">Miastenia </w:t>
      </w:r>
      <w:proofErr w:type="spellStart"/>
      <w:r w:rsidRPr="0006683C">
        <w:rPr>
          <w:rFonts w:ascii="Arial" w:hAnsi="Arial" w:cs="Arial"/>
          <w:sz w:val="24"/>
          <w:szCs w:val="24"/>
        </w:rPr>
        <w:t>gravis</w:t>
      </w:r>
      <w:proofErr w:type="spellEnd"/>
      <w:r w:rsidRPr="0006683C">
        <w:rPr>
          <w:rFonts w:ascii="Arial" w:hAnsi="Arial" w:cs="Arial"/>
          <w:sz w:val="24"/>
          <w:szCs w:val="24"/>
        </w:rPr>
        <w:t xml:space="preserve">. </w:t>
      </w:r>
    </w:p>
    <w:p w:rsidR="005D08FC" w:rsidRPr="008820C7" w:rsidRDefault="00CB4261" w:rsidP="005D08FC">
      <w:pPr>
        <w:tabs>
          <w:tab w:val="left" w:pos="2715"/>
        </w:tabs>
        <w:spacing w:line="240" w:lineRule="auto"/>
        <w:jc w:val="both"/>
        <w:rPr>
          <w:rFonts w:ascii="Arial" w:hAnsi="Arial" w:cs="Arial"/>
          <w:sz w:val="24"/>
          <w:szCs w:val="24"/>
        </w:rPr>
      </w:pPr>
      <w:r w:rsidRPr="00CB4261">
        <w:rPr>
          <w:rFonts w:ascii="Arial" w:hAnsi="Arial" w:cs="Arial"/>
          <w:sz w:val="24"/>
          <w:szCs w:val="24"/>
        </w:rPr>
        <w:lastRenderedPageBreak/>
        <w:t>[</w:t>
      </w:r>
      <w:r w:rsidR="00AF4095">
        <w:rPr>
          <w:rFonts w:ascii="Arial" w:hAnsi="Arial" w:cs="Arial"/>
          <w:sz w:val="24"/>
          <w:szCs w:val="24"/>
        </w:rPr>
        <w:t>´´</w:t>
      </w:r>
      <w:proofErr w:type="spellStart"/>
      <w:r w:rsidR="00AF4095">
        <w:rPr>
          <w:rFonts w:ascii="Arial" w:hAnsi="Arial" w:cs="Arial"/>
          <w:sz w:val="24"/>
          <w:szCs w:val="24"/>
        </w:rPr>
        <w:t>ultima</w:t>
      </w:r>
      <w:proofErr w:type="spellEnd"/>
      <w:r w:rsidR="00AF4095">
        <w:rPr>
          <w:rFonts w:ascii="Arial" w:hAnsi="Arial" w:cs="Arial"/>
          <w:sz w:val="24"/>
          <w:szCs w:val="24"/>
        </w:rPr>
        <w:t xml:space="preserve"> actualización: </w:t>
      </w:r>
      <w:r w:rsidRPr="00CB4261">
        <w:rPr>
          <w:rFonts w:ascii="Arial" w:hAnsi="Arial" w:cs="Arial"/>
          <w:sz w:val="24"/>
          <w:szCs w:val="24"/>
        </w:rPr>
        <w:t>Dic.2016</w:t>
      </w:r>
      <w:r w:rsidR="00AF4095">
        <w:rPr>
          <w:rFonts w:ascii="Arial" w:hAnsi="Arial" w:cs="Arial"/>
          <w:sz w:val="24"/>
          <w:szCs w:val="24"/>
        </w:rPr>
        <w:t xml:space="preserve">; </w:t>
      </w:r>
      <w:r w:rsidR="00A25F10">
        <w:rPr>
          <w:rFonts w:ascii="Arial" w:hAnsi="Arial" w:cs="Arial"/>
          <w:sz w:val="24"/>
          <w:szCs w:val="24"/>
        </w:rPr>
        <w:t>cit</w:t>
      </w:r>
      <w:r w:rsidR="00AF4095">
        <w:rPr>
          <w:rFonts w:ascii="Arial" w:hAnsi="Arial" w:cs="Arial"/>
          <w:sz w:val="24"/>
          <w:szCs w:val="24"/>
        </w:rPr>
        <w:t xml:space="preserve">ado: </w:t>
      </w:r>
      <w:r w:rsidR="000C4E22">
        <w:rPr>
          <w:rFonts w:ascii="Arial" w:hAnsi="Arial" w:cs="Arial"/>
          <w:sz w:val="24"/>
          <w:szCs w:val="24"/>
        </w:rPr>
        <w:t>enero 2017</w:t>
      </w:r>
      <w:r w:rsidR="00AF4095">
        <w:rPr>
          <w:rFonts w:ascii="Arial" w:hAnsi="Arial" w:cs="Arial"/>
          <w:sz w:val="24"/>
          <w:szCs w:val="24"/>
        </w:rPr>
        <w:t xml:space="preserve">] </w:t>
      </w:r>
      <w:r w:rsidR="00C20605" w:rsidRPr="00C20605">
        <w:rPr>
          <w:rFonts w:ascii="Arial" w:hAnsi="Arial" w:cs="Arial"/>
          <w:sz w:val="24"/>
          <w:szCs w:val="24"/>
        </w:rPr>
        <w:t xml:space="preserve">Disponible en </w:t>
      </w:r>
      <w:hyperlink r:id="rId5" w:history="1">
        <w:r w:rsidR="00C20605" w:rsidRPr="00C20605">
          <w:rPr>
            <w:rStyle w:val="Hipervnculo"/>
            <w:rFonts w:ascii="Arial" w:hAnsi="Arial" w:cs="Arial"/>
            <w:color w:val="auto"/>
            <w:sz w:val="24"/>
            <w:szCs w:val="24"/>
          </w:rPr>
          <w:t>http://espanol.ninds.nih.gov/trastornos/miastenia_gravis.htm</w:t>
        </w:r>
      </w:hyperlink>
    </w:p>
    <w:p w:rsidR="005D08FC" w:rsidRPr="008820C7" w:rsidRDefault="00C20605" w:rsidP="005D08FC">
      <w:pPr>
        <w:tabs>
          <w:tab w:val="left" w:pos="2715"/>
        </w:tabs>
        <w:spacing w:line="240" w:lineRule="auto"/>
        <w:jc w:val="both"/>
        <w:rPr>
          <w:rFonts w:ascii="Arial" w:hAnsi="Arial" w:cs="Arial"/>
          <w:sz w:val="24"/>
          <w:szCs w:val="24"/>
        </w:rPr>
      </w:pPr>
      <w:r w:rsidRPr="00C20605">
        <w:rPr>
          <w:rFonts w:ascii="Arial" w:hAnsi="Arial" w:cs="Arial"/>
          <w:sz w:val="24"/>
          <w:szCs w:val="24"/>
        </w:rPr>
        <w:t>4-</w:t>
      </w:r>
      <w:r w:rsidR="00A25F10">
        <w:rPr>
          <w:rFonts w:ascii="Arial" w:hAnsi="Arial" w:cs="Arial"/>
          <w:sz w:val="24"/>
          <w:szCs w:val="24"/>
        </w:rPr>
        <w:t>Consejo General de Colegios Oficiales de Farmacéuticos. Informe Técnico</w:t>
      </w:r>
      <w:r w:rsidRPr="00C20605">
        <w:rPr>
          <w:rFonts w:ascii="Arial" w:hAnsi="Arial" w:cs="Arial"/>
          <w:sz w:val="24"/>
          <w:szCs w:val="24"/>
        </w:rPr>
        <w:t xml:space="preserve"> Miastenia </w:t>
      </w:r>
      <w:proofErr w:type="spellStart"/>
      <w:r w:rsidRPr="00C20605">
        <w:rPr>
          <w:rFonts w:ascii="Arial" w:hAnsi="Arial" w:cs="Arial"/>
          <w:sz w:val="24"/>
          <w:szCs w:val="24"/>
        </w:rPr>
        <w:t>gravis</w:t>
      </w:r>
      <w:proofErr w:type="spellEnd"/>
      <w:r w:rsidRPr="00C20605">
        <w:rPr>
          <w:rFonts w:ascii="Arial" w:hAnsi="Arial" w:cs="Arial"/>
          <w:sz w:val="24"/>
          <w:szCs w:val="24"/>
        </w:rPr>
        <w:t>.</w:t>
      </w:r>
      <w:r w:rsidR="00A90CC3">
        <w:rPr>
          <w:rFonts w:ascii="Arial" w:hAnsi="Arial" w:cs="Arial"/>
          <w:sz w:val="24"/>
          <w:szCs w:val="24"/>
        </w:rPr>
        <w:t xml:space="preserve"> </w:t>
      </w:r>
      <w:r w:rsidR="00A25F10">
        <w:rPr>
          <w:rFonts w:ascii="Arial" w:hAnsi="Arial" w:cs="Arial"/>
          <w:sz w:val="24"/>
          <w:szCs w:val="24"/>
        </w:rPr>
        <w:t xml:space="preserve">Madrid; 2008 [citado </w:t>
      </w:r>
      <w:r w:rsidR="000C4E22">
        <w:rPr>
          <w:rFonts w:ascii="Arial" w:hAnsi="Arial" w:cs="Arial"/>
          <w:sz w:val="24"/>
          <w:szCs w:val="24"/>
        </w:rPr>
        <w:t>enero 2017</w:t>
      </w:r>
      <w:r w:rsidR="00A25F10">
        <w:rPr>
          <w:rFonts w:ascii="Arial" w:hAnsi="Arial" w:cs="Arial"/>
          <w:sz w:val="24"/>
          <w:szCs w:val="24"/>
        </w:rPr>
        <w:t>]</w:t>
      </w:r>
      <w:r w:rsidRPr="00C20605">
        <w:rPr>
          <w:rFonts w:ascii="Arial" w:hAnsi="Arial" w:cs="Arial"/>
          <w:sz w:val="24"/>
          <w:szCs w:val="24"/>
        </w:rPr>
        <w:t xml:space="preserve"> Disponible en: http://www.portalfarma.com/Profesionales/campanaspf/categorias/Documents/informe_miastenia.pdf</w:t>
      </w:r>
    </w:p>
    <w:p w:rsidR="00021F8F" w:rsidRPr="008820C7" w:rsidRDefault="00C20605">
      <w:pPr>
        <w:rPr>
          <w:rFonts w:ascii="Arial" w:hAnsi="Arial" w:cs="Arial"/>
          <w:sz w:val="24"/>
          <w:szCs w:val="24"/>
        </w:rPr>
      </w:pPr>
      <w:r w:rsidRPr="00C20605">
        <w:rPr>
          <w:rFonts w:ascii="Arial" w:hAnsi="Arial" w:cs="Arial"/>
          <w:sz w:val="24"/>
          <w:szCs w:val="24"/>
        </w:rPr>
        <w:t xml:space="preserve">5- </w:t>
      </w:r>
      <w:r w:rsidR="00A25F10">
        <w:rPr>
          <w:rFonts w:ascii="Arial" w:hAnsi="Arial" w:cs="Arial"/>
          <w:sz w:val="24"/>
          <w:szCs w:val="24"/>
        </w:rPr>
        <w:t>Sociedad Española de Reumatología</w:t>
      </w:r>
      <w:r w:rsidR="00121644">
        <w:rPr>
          <w:rFonts w:ascii="Arial" w:hAnsi="Arial" w:cs="Arial"/>
          <w:sz w:val="24"/>
          <w:szCs w:val="24"/>
        </w:rPr>
        <w:t xml:space="preserve"> [internet]. </w:t>
      </w:r>
      <w:r w:rsidRPr="00C20605">
        <w:rPr>
          <w:rFonts w:ascii="Arial" w:hAnsi="Arial" w:cs="Arial"/>
          <w:sz w:val="24"/>
          <w:szCs w:val="24"/>
        </w:rPr>
        <w:t>Guía Clínica del manejo de la gota</w:t>
      </w:r>
      <w:r w:rsidR="00121644">
        <w:rPr>
          <w:rFonts w:ascii="Arial" w:hAnsi="Arial" w:cs="Arial"/>
          <w:sz w:val="24"/>
          <w:szCs w:val="24"/>
        </w:rPr>
        <w:t xml:space="preserve">; 2013 [citado </w:t>
      </w:r>
      <w:r w:rsidR="000C4E22">
        <w:rPr>
          <w:rFonts w:ascii="Arial" w:hAnsi="Arial" w:cs="Arial"/>
          <w:sz w:val="24"/>
          <w:szCs w:val="24"/>
        </w:rPr>
        <w:t>febrero 2017</w:t>
      </w:r>
      <w:r w:rsidR="00121644">
        <w:rPr>
          <w:rFonts w:ascii="Arial" w:hAnsi="Arial" w:cs="Arial"/>
          <w:sz w:val="24"/>
          <w:szCs w:val="24"/>
        </w:rPr>
        <w:t>]</w:t>
      </w:r>
      <w:r w:rsidRPr="00C20605">
        <w:rPr>
          <w:rFonts w:ascii="Arial" w:hAnsi="Arial" w:cs="Arial"/>
          <w:sz w:val="24"/>
          <w:szCs w:val="24"/>
        </w:rPr>
        <w:t xml:space="preserve">. Disponible en </w:t>
      </w:r>
      <w:hyperlink r:id="rId6" w:history="1">
        <w:r w:rsidRPr="00C20605">
          <w:rPr>
            <w:rStyle w:val="Hipervnculo"/>
            <w:rFonts w:ascii="Arial" w:hAnsi="Arial" w:cs="Arial"/>
            <w:color w:val="auto"/>
            <w:sz w:val="24"/>
            <w:szCs w:val="24"/>
          </w:rPr>
          <w:t>http://www.ser.es/guia-de-manejo-de-la-gota/</w:t>
        </w:r>
      </w:hyperlink>
    </w:p>
    <w:p w:rsidR="00F061FB" w:rsidRDefault="00C20605" w:rsidP="00F061FB">
      <w:pPr>
        <w:autoSpaceDE w:val="0"/>
        <w:autoSpaceDN w:val="0"/>
        <w:adjustRightInd w:val="0"/>
        <w:spacing w:after="0" w:line="240" w:lineRule="auto"/>
        <w:rPr>
          <w:rFonts w:ascii="Arial" w:eastAsiaTheme="minorHAnsi" w:hAnsi="Arial" w:cs="Arial"/>
          <w:sz w:val="24"/>
          <w:szCs w:val="24"/>
          <w:lang w:eastAsia="en-US"/>
        </w:rPr>
      </w:pPr>
      <w:r w:rsidRPr="00C20605">
        <w:rPr>
          <w:rFonts w:ascii="Arial" w:hAnsi="Arial" w:cs="Arial"/>
          <w:sz w:val="24"/>
          <w:szCs w:val="24"/>
        </w:rPr>
        <w:t xml:space="preserve">6- </w:t>
      </w:r>
      <w:r w:rsidRPr="00C20605">
        <w:rPr>
          <w:rFonts w:ascii="Arial" w:eastAsiaTheme="minorHAnsi" w:hAnsi="Arial" w:cs="Arial"/>
          <w:sz w:val="24"/>
          <w:szCs w:val="24"/>
          <w:lang w:eastAsia="en-US"/>
        </w:rPr>
        <w:t>AEMPS</w:t>
      </w:r>
      <w:r w:rsidR="00121644">
        <w:rPr>
          <w:rFonts w:ascii="Arial" w:eastAsiaTheme="minorHAnsi" w:hAnsi="Arial" w:cs="Arial"/>
          <w:sz w:val="24"/>
          <w:szCs w:val="24"/>
          <w:lang w:eastAsia="en-US"/>
        </w:rPr>
        <w:t xml:space="preserve"> </w:t>
      </w:r>
      <w:r w:rsidR="00121644">
        <w:rPr>
          <w:rFonts w:ascii="Arial" w:hAnsi="Arial" w:cs="Arial"/>
          <w:sz w:val="24"/>
          <w:szCs w:val="24"/>
        </w:rPr>
        <w:t xml:space="preserve"> [internet].</w:t>
      </w:r>
      <w:r w:rsidRPr="00C20605">
        <w:rPr>
          <w:rFonts w:ascii="Arial" w:eastAsiaTheme="minorHAnsi" w:hAnsi="Arial" w:cs="Arial"/>
          <w:sz w:val="24"/>
          <w:szCs w:val="24"/>
          <w:lang w:eastAsia="en-US"/>
        </w:rPr>
        <w:t xml:space="preserve"> Centro de Información online de Medicamentos de la AEMPS (CIMA) </w:t>
      </w:r>
      <w:r w:rsidR="00121644" w:rsidRPr="00121644">
        <w:rPr>
          <w:rFonts w:ascii="Arial" w:hAnsi="Arial" w:cs="Arial"/>
          <w:sz w:val="24"/>
          <w:szCs w:val="24"/>
        </w:rPr>
        <w:t xml:space="preserve"> </w:t>
      </w:r>
      <w:r w:rsidR="00121644">
        <w:rPr>
          <w:rFonts w:ascii="Arial" w:hAnsi="Arial" w:cs="Arial"/>
          <w:sz w:val="24"/>
          <w:szCs w:val="24"/>
        </w:rPr>
        <w:t xml:space="preserve">[citado: </w:t>
      </w:r>
      <w:r w:rsidR="000C4E22">
        <w:rPr>
          <w:rFonts w:ascii="Arial" w:hAnsi="Arial" w:cs="Arial"/>
          <w:sz w:val="24"/>
          <w:szCs w:val="24"/>
        </w:rPr>
        <w:t>febrero 2017</w:t>
      </w:r>
      <w:r w:rsidR="00121644">
        <w:rPr>
          <w:rFonts w:ascii="Arial" w:hAnsi="Arial" w:cs="Arial"/>
          <w:sz w:val="24"/>
          <w:szCs w:val="24"/>
        </w:rPr>
        <w:t>]</w:t>
      </w:r>
      <w:r w:rsidRPr="00C20605">
        <w:rPr>
          <w:rFonts w:ascii="Arial" w:eastAsiaTheme="minorHAnsi" w:hAnsi="Arial" w:cs="Arial"/>
          <w:sz w:val="24"/>
          <w:szCs w:val="24"/>
          <w:lang w:eastAsia="en-US"/>
        </w:rPr>
        <w:t xml:space="preserve"> Disponible en:</w:t>
      </w:r>
    </w:p>
    <w:p w:rsidR="00F061FB" w:rsidRDefault="00F061FB" w:rsidP="00F061FB">
      <w:pPr>
        <w:autoSpaceDE w:val="0"/>
        <w:autoSpaceDN w:val="0"/>
        <w:adjustRightInd w:val="0"/>
        <w:spacing w:after="0" w:line="240" w:lineRule="auto"/>
        <w:rPr>
          <w:rFonts w:ascii="Arial" w:eastAsiaTheme="minorHAnsi" w:hAnsi="Arial" w:cs="Arial"/>
          <w:sz w:val="24"/>
          <w:szCs w:val="24"/>
          <w:lang w:eastAsia="en-US"/>
        </w:rPr>
      </w:pPr>
    </w:p>
    <w:p w:rsidR="00902035" w:rsidRDefault="00CB4261" w:rsidP="00F061FB">
      <w:pPr>
        <w:rPr>
          <w:rFonts w:ascii="Arial" w:eastAsiaTheme="minorHAnsi" w:hAnsi="Arial" w:cs="Arial"/>
          <w:sz w:val="24"/>
          <w:szCs w:val="24"/>
          <w:lang w:eastAsia="en-US"/>
        </w:rPr>
      </w:pPr>
      <w:hyperlink r:id="rId7" w:history="1">
        <w:r w:rsidR="00F061FB" w:rsidRPr="004F7C6C">
          <w:rPr>
            <w:rStyle w:val="Hipervnculo"/>
            <w:rFonts w:ascii="Arial" w:eastAsiaTheme="minorHAnsi" w:hAnsi="Arial" w:cs="Arial"/>
            <w:sz w:val="24"/>
            <w:szCs w:val="24"/>
            <w:lang w:eastAsia="en-US"/>
          </w:rPr>
          <w:t>h</w:t>
        </w:r>
        <w:r w:rsidR="00C20605" w:rsidRPr="00C20605">
          <w:rPr>
            <w:rStyle w:val="Hipervnculo"/>
            <w:rFonts w:ascii="Arial" w:hAnsi="Arial" w:cs="Arial"/>
            <w:sz w:val="24"/>
            <w:szCs w:val="24"/>
          </w:rPr>
          <w:t>ttp://www.aemps.gob.es/cima/pestanias.do?metodo=accesoAplicacion</w:t>
        </w:r>
      </w:hyperlink>
    </w:p>
    <w:p w:rsidR="00F061FB" w:rsidRPr="00F061FB" w:rsidRDefault="00F061FB" w:rsidP="00F061FB">
      <w:pPr>
        <w:rPr>
          <w:rFonts w:ascii="Arial" w:hAnsi="Arial" w:cs="Arial"/>
          <w:sz w:val="24"/>
          <w:szCs w:val="24"/>
        </w:rPr>
      </w:pPr>
    </w:p>
    <w:sectPr w:rsidR="00F061FB" w:rsidRPr="00F061FB" w:rsidSect="006710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7278E"/>
    <w:multiLevelType w:val="hybridMultilevel"/>
    <w:tmpl w:val="13D2A698"/>
    <w:lvl w:ilvl="0" w:tplc="2A1247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1761ED3"/>
    <w:multiLevelType w:val="hybridMultilevel"/>
    <w:tmpl w:val="7190339A"/>
    <w:lvl w:ilvl="0" w:tplc="28385A6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08FC"/>
    <w:rsid w:val="00007A31"/>
    <w:rsid w:val="00011BD7"/>
    <w:rsid w:val="00021F8F"/>
    <w:rsid w:val="00026F74"/>
    <w:rsid w:val="0006683C"/>
    <w:rsid w:val="000A2520"/>
    <w:rsid w:val="000C4E22"/>
    <w:rsid w:val="000F1742"/>
    <w:rsid w:val="000F2143"/>
    <w:rsid w:val="00121644"/>
    <w:rsid w:val="00196599"/>
    <w:rsid w:val="002F2C8C"/>
    <w:rsid w:val="00374038"/>
    <w:rsid w:val="00381136"/>
    <w:rsid w:val="003D7694"/>
    <w:rsid w:val="00433AE3"/>
    <w:rsid w:val="004352D2"/>
    <w:rsid w:val="00496A53"/>
    <w:rsid w:val="004C4B75"/>
    <w:rsid w:val="0056435C"/>
    <w:rsid w:val="005D08FC"/>
    <w:rsid w:val="006265C0"/>
    <w:rsid w:val="00653CF4"/>
    <w:rsid w:val="00654E2D"/>
    <w:rsid w:val="006A4ED4"/>
    <w:rsid w:val="006F3B29"/>
    <w:rsid w:val="00783F3E"/>
    <w:rsid w:val="007A5F5B"/>
    <w:rsid w:val="00801921"/>
    <w:rsid w:val="00844E72"/>
    <w:rsid w:val="008820C7"/>
    <w:rsid w:val="00902035"/>
    <w:rsid w:val="00973281"/>
    <w:rsid w:val="009F7841"/>
    <w:rsid w:val="00A25F10"/>
    <w:rsid w:val="00A90CC3"/>
    <w:rsid w:val="00A932C3"/>
    <w:rsid w:val="00AA754E"/>
    <w:rsid w:val="00AF4095"/>
    <w:rsid w:val="00B05AAD"/>
    <w:rsid w:val="00B16FD6"/>
    <w:rsid w:val="00B358A9"/>
    <w:rsid w:val="00C20605"/>
    <w:rsid w:val="00C22B69"/>
    <w:rsid w:val="00C36D74"/>
    <w:rsid w:val="00CB4261"/>
    <w:rsid w:val="00CF66FD"/>
    <w:rsid w:val="00D21515"/>
    <w:rsid w:val="00D43F2E"/>
    <w:rsid w:val="00D76AF7"/>
    <w:rsid w:val="00D96279"/>
    <w:rsid w:val="00DC64AD"/>
    <w:rsid w:val="00E27FCD"/>
    <w:rsid w:val="00E4697B"/>
    <w:rsid w:val="00E616BF"/>
    <w:rsid w:val="00E63503"/>
    <w:rsid w:val="00E91329"/>
    <w:rsid w:val="00EE0D53"/>
    <w:rsid w:val="00F061FB"/>
    <w:rsid w:val="00FB31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FC"/>
    <w:rPr>
      <w:rFonts w:eastAsiaTheme="minorEastAsia"/>
      <w:lang w:eastAsia="es-ES"/>
    </w:rPr>
  </w:style>
  <w:style w:type="paragraph" w:styleId="Ttulo2">
    <w:name w:val="heading 2"/>
    <w:basedOn w:val="Normal"/>
    <w:link w:val="Ttulo2Car"/>
    <w:uiPriority w:val="9"/>
    <w:qFormat/>
    <w:rsid w:val="005D08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5D08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D08F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5D08FC"/>
    <w:rPr>
      <w:rFonts w:asciiTheme="majorHAnsi" w:eastAsiaTheme="majorEastAsia" w:hAnsiTheme="majorHAnsi" w:cstheme="majorBidi"/>
      <w:b/>
      <w:bCs/>
      <w:color w:val="4F81BD" w:themeColor="accent1"/>
      <w:lang w:eastAsia="es-ES"/>
    </w:rPr>
  </w:style>
  <w:style w:type="character" w:styleId="Hipervnculo">
    <w:name w:val="Hyperlink"/>
    <w:basedOn w:val="Fuentedeprrafopredeter"/>
    <w:uiPriority w:val="99"/>
    <w:unhideWhenUsed/>
    <w:rsid w:val="005D08FC"/>
    <w:rPr>
      <w:color w:val="0000FF" w:themeColor="hyperlink"/>
      <w:u w:val="single"/>
    </w:rPr>
  </w:style>
  <w:style w:type="paragraph" w:styleId="Prrafodelista">
    <w:name w:val="List Paragraph"/>
    <w:basedOn w:val="Normal"/>
    <w:uiPriority w:val="34"/>
    <w:qFormat/>
    <w:rsid w:val="005D08FC"/>
    <w:pPr>
      <w:ind w:left="720"/>
      <w:contextualSpacing/>
    </w:pPr>
  </w:style>
  <w:style w:type="table" w:styleId="Tablaconcuadrcula">
    <w:name w:val="Table Grid"/>
    <w:basedOn w:val="Tablanormal"/>
    <w:uiPriority w:val="59"/>
    <w:rsid w:val="005D08FC"/>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A2520"/>
    <w:rPr>
      <w:sz w:val="16"/>
      <w:szCs w:val="16"/>
    </w:rPr>
  </w:style>
  <w:style w:type="paragraph" w:styleId="Textocomentario">
    <w:name w:val="annotation text"/>
    <w:basedOn w:val="Normal"/>
    <w:link w:val="TextocomentarioCar"/>
    <w:uiPriority w:val="99"/>
    <w:semiHidden/>
    <w:unhideWhenUsed/>
    <w:rsid w:val="000A25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A2520"/>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A2520"/>
    <w:rPr>
      <w:b/>
      <w:bCs/>
    </w:rPr>
  </w:style>
  <w:style w:type="character" w:customStyle="1" w:styleId="AsuntodelcomentarioCar">
    <w:name w:val="Asunto del comentario Car"/>
    <w:basedOn w:val="TextocomentarioCar"/>
    <w:link w:val="Asuntodelcomentario"/>
    <w:uiPriority w:val="99"/>
    <w:semiHidden/>
    <w:rsid w:val="000A2520"/>
    <w:rPr>
      <w:b/>
      <w:bCs/>
    </w:rPr>
  </w:style>
  <w:style w:type="paragraph" w:styleId="Textodeglobo">
    <w:name w:val="Balloon Text"/>
    <w:basedOn w:val="Normal"/>
    <w:link w:val="TextodegloboCar"/>
    <w:uiPriority w:val="99"/>
    <w:semiHidden/>
    <w:unhideWhenUsed/>
    <w:rsid w:val="000A25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520"/>
    <w:rPr>
      <w:rFonts w:ascii="Tahoma" w:eastAsiaTheme="minorEastAsia" w:hAnsi="Tahoma" w:cs="Tahoma"/>
      <w:sz w:val="16"/>
      <w:szCs w:val="16"/>
      <w:lang w:eastAsia="es-ES"/>
    </w:rPr>
  </w:style>
  <w:style w:type="character" w:styleId="Hipervnculovisitado">
    <w:name w:val="FollowedHyperlink"/>
    <w:basedOn w:val="Fuentedeprrafopredeter"/>
    <w:uiPriority w:val="99"/>
    <w:semiHidden/>
    <w:unhideWhenUsed/>
    <w:rsid w:val="00AA75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emps.gob.es/cima/pestanias.do?metodo=accesoAplic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es/guia-de-manejo-de-la-gota/" TargetMode="External"/><Relationship Id="rId5" Type="http://schemas.openxmlformats.org/officeDocument/2006/relationships/hyperlink" Target="http://espanol.ninds.nih.gov/trastornos/miastenia_gravi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1417</Words>
  <Characters>7798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anadagom</dc:creator>
  <cp:lastModifiedBy>User</cp:lastModifiedBy>
  <cp:revision>7</cp:revision>
  <dcterms:created xsi:type="dcterms:W3CDTF">2017-06-05T09:29:00Z</dcterms:created>
  <dcterms:modified xsi:type="dcterms:W3CDTF">2017-06-05T13:28:00Z</dcterms:modified>
</cp:coreProperties>
</file>