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F9" w:rsidRDefault="00147AAF" w:rsidP="00A56ADD">
      <w:pPr>
        <w:spacing w:line="480" w:lineRule="auto"/>
        <w:jc w:val="both"/>
        <w:rPr>
          <w:rFonts w:ascii="Century Gothic" w:hAnsi="Century Gothic"/>
          <w:b/>
        </w:rPr>
      </w:pPr>
      <w:r>
        <w:rPr>
          <w:rFonts w:ascii="Century Gothic" w:hAnsi="Century Gothic"/>
          <w:b/>
        </w:rPr>
        <w:t>Introducción</w:t>
      </w:r>
    </w:p>
    <w:p w:rsidR="001A1DF9" w:rsidRDefault="00147AAF" w:rsidP="00A56ADD">
      <w:pPr>
        <w:spacing w:line="480" w:lineRule="auto"/>
        <w:jc w:val="both"/>
        <w:rPr>
          <w:rFonts w:ascii="Century Gothic" w:hAnsi="Century Gothic"/>
          <w:color w:val="000000"/>
          <w:lang w:val="ca-ES"/>
        </w:rPr>
      </w:pPr>
      <w:r>
        <w:rPr>
          <w:rFonts w:ascii="Century Gothic" w:hAnsi="Century Gothic"/>
        </w:rPr>
        <w:t>La hipertensión arterial (HTA) es el primer motivo de consulta</w:t>
      </w:r>
      <w:r>
        <w:rPr>
          <w:rFonts w:ascii="Century Gothic" w:hAnsi="Century Gothic"/>
          <w:color w:val="000000"/>
          <w:lang w:val="ca-ES"/>
        </w:rPr>
        <w:t xml:space="preserve"> en atención primaria </w:t>
      </w:r>
      <w:r>
        <w:rPr>
          <w:rFonts w:ascii="Century Gothic" w:hAnsi="Century Gothic"/>
        </w:rPr>
        <w:t>entre todas las patología crónicas. Presenta una alta prevalencia</w:t>
      </w:r>
      <w:r>
        <w:rPr>
          <w:rFonts w:ascii="Century Gothic" w:hAnsi="Century Gothic"/>
          <w:color w:val="000000"/>
          <w:lang w:val="ca-ES"/>
        </w:rPr>
        <w:t xml:space="preserve"> (superior al 20 %)</w:t>
      </w:r>
      <w:r>
        <w:rPr>
          <w:rFonts w:ascii="Century Gothic" w:hAnsi="Century Gothic"/>
        </w:rPr>
        <w:t>, por lo que no es extraño que consuma gran parte del tiempo de consulta de los equipos de atención primaria</w:t>
      </w:r>
      <w:r>
        <w:rPr>
          <w:rFonts w:ascii="Century Gothic" w:hAnsi="Century Gothic"/>
          <w:color w:val="000000"/>
          <w:lang w:val="ca-ES"/>
        </w:rPr>
        <w:t xml:space="preserve"> y suponga por su influencia en la morbimortalidad cardiovascular un importante problema de salud pública, siendo el principal factor de riesgo modificable para un evento cardiovascular</w:t>
      </w:r>
      <w:r>
        <w:rPr>
          <w:rFonts w:ascii="Century Gothic" w:hAnsi="Century Gothic"/>
          <w:vertAlign w:val="superscript"/>
        </w:rPr>
        <w:t>1</w:t>
      </w:r>
      <w:r>
        <w:rPr>
          <w:rFonts w:ascii="Century Gothic" w:hAnsi="Century Gothic"/>
          <w:color w:val="000000"/>
          <w:lang w:val="ca-ES"/>
        </w:rPr>
        <w:t>.</w:t>
      </w:r>
    </w:p>
    <w:p w:rsidR="001A1DF9" w:rsidRDefault="00147AAF" w:rsidP="00A56ADD">
      <w:pPr>
        <w:spacing w:line="480" w:lineRule="auto"/>
        <w:jc w:val="both"/>
        <w:rPr>
          <w:rFonts w:ascii="Century Gothic" w:hAnsi="Century Gothic"/>
        </w:rPr>
      </w:pPr>
      <w:r>
        <w:rPr>
          <w:rFonts w:ascii="Century Gothic" w:hAnsi="Century Gothic"/>
          <w:color w:val="000000"/>
          <w:lang w:val="ca-ES"/>
        </w:rPr>
        <w:t>Numerosos trabajos en la bibliografía farmacéutica afirman que la farmacia comunitaria es un establecimiento sanitario que reúne las condiciones idóneas para realizar estrategias de detección y de intervención en HTA</w:t>
      </w:r>
      <w:r>
        <w:rPr>
          <w:rFonts w:ascii="Century Gothic" w:hAnsi="Century Gothic"/>
          <w:color w:val="000000"/>
          <w:vertAlign w:val="superscript"/>
          <w:lang w:val="ca-ES"/>
        </w:rPr>
        <w:t>2,3</w:t>
      </w:r>
      <w:r>
        <w:rPr>
          <w:rFonts w:ascii="Century Gothic" w:hAnsi="Century Gothic"/>
          <w:color w:val="000000"/>
          <w:lang w:val="ca-ES"/>
        </w:rPr>
        <w:t>, y debido a que la medición de las cifras de presión arterial (PA) se trata de un servicio ampliamente ofertado en la mayoría de farmacias españolas</w:t>
      </w:r>
      <w:r>
        <w:rPr>
          <w:rFonts w:ascii="Century Gothic" w:hAnsi="Century Gothic"/>
          <w:color w:val="000000"/>
          <w:vertAlign w:val="superscript"/>
          <w:lang w:val="ca-ES"/>
        </w:rPr>
        <w:t>4</w:t>
      </w:r>
      <w:r>
        <w:rPr>
          <w:rFonts w:ascii="Century Gothic" w:hAnsi="Century Gothic"/>
          <w:color w:val="000000"/>
          <w:lang w:val="ca-ES"/>
        </w:rPr>
        <w:t>, el farmacéutico comunitario y su equipo pueden desarrollar un papel primordial en la prevención, cribado y seguimiento de HTA.</w:t>
      </w:r>
    </w:p>
    <w:p w:rsidR="001A1DF9" w:rsidRDefault="00147AAF" w:rsidP="00A56ADD">
      <w:pPr>
        <w:spacing w:line="480" w:lineRule="auto"/>
        <w:jc w:val="both"/>
        <w:rPr>
          <w:rFonts w:ascii="Century Gothic" w:hAnsi="Century Gothic"/>
          <w:color w:val="000000"/>
        </w:rPr>
      </w:pPr>
      <w:r>
        <w:rPr>
          <w:rFonts w:ascii="Century Gothic" w:hAnsi="Century Gothic"/>
        </w:rPr>
        <w:t xml:space="preserve">Guías como NICE recomiendan, si disponible, realizar una </w:t>
      </w:r>
      <w:r>
        <w:rPr>
          <w:rFonts w:ascii="Century Gothic" w:hAnsi="Century Gothic"/>
          <w:color w:val="000000"/>
        </w:rPr>
        <w:t>monitorización ambulatoria de la presión arterial (</w:t>
      </w:r>
      <w:r>
        <w:rPr>
          <w:rFonts w:ascii="Century Gothic" w:hAnsi="Century Gothic"/>
        </w:rPr>
        <w:t>MAPA) diagnóstica a todo hipertenso, ya que esta técnica es la más coste/efectiva para diagnosticar la HTA tras haber detectado en la clínica PA elevada</w:t>
      </w:r>
      <w:r>
        <w:rPr>
          <w:rFonts w:ascii="Century Gothic" w:hAnsi="Century Gothic"/>
          <w:color w:val="000000"/>
          <w:vertAlign w:val="superscript"/>
          <w:lang w:val="ca-ES"/>
        </w:rPr>
        <w:t>5</w:t>
      </w:r>
      <w:r>
        <w:rPr>
          <w:rFonts w:ascii="Century Gothic" w:hAnsi="Century Gothic"/>
        </w:rPr>
        <w:t>. L</w:t>
      </w:r>
      <w:r>
        <w:rPr>
          <w:rFonts w:ascii="Century Gothic" w:hAnsi="Century Gothic"/>
          <w:color w:val="000000"/>
        </w:rPr>
        <w:t>a guía de actuación para el farmacéutico comunitario en pacientes con hipertensión y riesgo cardiovascular aconseja el uso de la MAPA desde la farmacia, como herramienta para el cribado y el seguimiento de la hipertensión arterial</w:t>
      </w:r>
      <w:r>
        <w:rPr>
          <w:rFonts w:ascii="Century Gothic" w:hAnsi="Century Gothic"/>
          <w:color w:val="000000"/>
          <w:vertAlign w:val="superscript"/>
          <w:lang w:val="ca-ES"/>
        </w:rPr>
        <w:t>3</w:t>
      </w:r>
      <w:r>
        <w:rPr>
          <w:rFonts w:ascii="Century Gothic" w:hAnsi="Century Gothic"/>
          <w:color w:val="000000"/>
        </w:rPr>
        <w:t>.</w:t>
      </w:r>
    </w:p>
    <w:p w:rsidR="001A1DF9" w:rsidRDefault="00147AAF" w:rsidP="00A56ADD">
      <w:pPr>
        <w:spacing w:line="480" w:lineRule="auto"/>
        <w:jc w:val="both"/>
        <w:rPr>
          <w:rFonts w:ascii="Century Gothic" w:hAnsi="Century Gothic"/>
        </w:rPr>
      </w:pPr>
      <w:r>
        <w:rPr>
          <w:rFonts w:ascii="Century Gothic" w:hAnsi="Century Gothic"/>
        </w:rPr>
        <w:t xml:space="preserve">La MAPA es una técnica que permite obtener un amplio número de lecturas de PA, usualmente cada 20 o’ 30 minutos, durante periodos de 24 o’ 48 horas, </w:t>
      </w:r>
      <w:r>
        <w:rPr>
          <w:rFonts w:ascii="Century Gothic" w:hAnsi="Century Gothic"/>
        </w:rPr>
        <w:lastRenderedPageBreak/>
        <w:t>que reflejan con detalle los cambios dinámicos de PA durante la actividad cotidiana del paciente</w:t>
      </w:r>
      <w:r>
        <w:rPr>
          <w:rFonts w:ascii="Century Gothic" w:hAnsi="Century Gothic"/>
          <w:color w:val="000000"/>
          <w:vertAlign w:val="superscript"/>
          <w:lang w:val="ca-ES"/>
        </w:rPr>
        <w:t>6</w:t>
      </w:r>
      <w:r>
        <w:rPr>
          <w:rFonts w:ascii="Century Gothic" w:hAnsi="Century Gothic"/>
        </w:rPr>
        <w:t>.</w:t>
      </w:r>
    </w:p>
    <w:p w:rsidR="001A1DF9" w:rsidRDefault="00147AAF" w:rsidP="00A56ADD">
      <w:pPr>
        <w:spacing w:line="480" w:lineRule="auto"/>
        <w:jc w:val="both"/>
        <w:rPr>
          <w:rFonts w:ascii="Century Gothic" w:hAnsi="Century Gothic"/>
        </w:rPr>
      </w:pPr>
      <w:r>
        <w:rPr>
          <w:rFonts w:ascii="Century Gothic" w:hAnsi="Century Gothic"/>
        </w:rPr>
        <w:t>El objetivo de este estudio es analizar los resultados obtenidos en el servicio de cribado de pacientes hipertensos y de MAPA de una farmacia comunitaria durante 24 meses (años 2012 y 2013).</w:t>
      </w:r>
    </w:p>
    <w:p w:rsidR="00A56ADD" w:rsidRDefault="00A56ADD">
      <w:pPr>
        <w:rPr>
          <w:rFonts w:ascii="Century Gothic" w:hAnsi="Century Gothic"/>
        </w:rPr>
      </w:pPr>
      <w:r>
        <w:rPr>
          <w:rFonts w:ascii="Century Gothic" w:hAnsi="Century Gothic"/>
        </w:rPr>
        <w:br w:type="page"/>
      </w:r>
    </w:p>
    <w:p w:rsidR="001A1DF9" w:rsidRDefault="00147AAF" w:rsidP="00A56ADD">
      <w:pPr>
        <w:spacing w:line="480" w:lineRule="auto"/>
        <w:jc w:val="both"/>
        <w:rPr>
          <w:b/>
        </w:rPr>
      </w:pPr>
      <w:r>
        <w:rPr>
          <w:rFonts w:ascii="Century Gothic" w:hAnsi="Century Gothic"/>
          <w:b/>
        </w:rPr>
        <w:lastRenderedPageBreak/>
        <w:t>Métodos</w:t>
      </w:r>
    </w:p>
    <w:p w:rsidR="001A1DF9" w:rsidRDefault="00147AAF" w:rsidP="00A56ADD">
      <w:pPr>
        <w:spacing w:line="480" w:lineRule="auto"/>
        <w:jc w:val="both"/>
        <w:rPr>
          <w:rFonts w:ascii="Century Gothic" w:hAnsi="Century Gothic"/>
          <w:color w:val="000000"/>
          <w:lang w:val="ca-ES"/>
        </w:rPr>
      </w:pPr>
      <w:r>
        <w:rPr>
          <w:rFonts w:ascii="Century Gothic" w:hAnsi="Century Gothic"/>
        </w:rPr>
        <w:t>Estudio descriptivo observacional, llevado a cabo en una farmacia comunitaria de Benalmádena (Málaga) durante 24 meses (años 2012 y 2013). Se incluyeron pacientes de la farmacia mayores de 18 años con y sin tratamiento farmacológico a los que se ofreció el servicio de MAPA y/o el de cribado de pacientes hipertensos (figura 1). El dispositivo utilizado para el servicio de MAPA ha sido el Watch BP03</w:t>
      </w:r>
      <w:r>
        <w:rPr>
          <w:rFonts w:ascii="Century Gothic" w:hAnsi="Century Gothic"/>
          <w:color w:val="000000"/>
          <w:lang w:val="ca-ES"/>
        </w:rPr>
        <w:t>, validado según la SEH-LELHA (Sociedad Española de Hipertensión - Liga Española para la Lucha contra la Hipertensión Arterial)</w:t>
      </w:r>
      <w:r>
        <w:rPr>
          <w:rFonts w:ascii="Century Gothic" w:hAnsi="Century Gothic"/>
        </w:rPr>
        <w:t>.</w:t>
      </w:r>
      <w:r>
        <w:rPr>
          <w:rFonts w:ascii="Century Gothic" w:hAnsi="Century Gothic"/>
          <w:color w:val="000000"/>
          <w:lang w:val="ca-ES"/>
        </w:rPr>
        <w:t xml:space="preserve"> En el cribado de pacientes hipertensos se ha empleado el dispositivo OMRON M- 4, calibrado anualmente. </w:t>
      </w:r>
      <w:r>
        <w:rPr>
          <w:rFonts w:ascii="Century Gothic" w:hAnsi="Century Gothic"/>
        </w:rPr>
        <w:t>Para el cribado de posibles pacientes hipertensos se ha medido la PA en al menos 3 visitas programadas durante 2-3 semanas, se han realizado 2 medidas en cada visita, separadas 1-2 minutos y se ha considerado como límites de normalidad cifras promedio de PAS/PAD &lt; 140/90 mmHg (figura 1).</w:t>
      </w:r>
    </w:p>
    <w:p w:rsidR="001A1DF9" w:rsidRDefault="00147AAF" w:rsidP="00A56ADD">
      <w:pPr>
        <w:spacing w:line="480" w:lineRule="auto"/>
        <w:jc w:val="both"/>
      </w:pPr>
      <w:r>
        <w:rPr>
          <w:rFonts w:ascii="Century Gothic" w:hAnsi="Century Gothic"/>
        </w:rPr>
        <w:t xml:space="preserve">Para el tratamiento de datos se ha utilizado el programa G-stat. </w:t>
      </w:r>
    </w:p>
    <w:p w:rsidR="00A56ADD" w:rsidRDefault="00A56ADD">
      <w:pPr>
        <w:rPr>
          <w:rFonts w:ascii="Century Gothic" w:hAnsi="Century Gothic"/>
          <w:b/>
        </w:rPr>
      </w:pPr>
      <w:r>
        <w:rPr>
          <w:rFonts w:ascii="Century Gothic" w:hAnsi="Century Gothic"/>
          <w:b/>
        </w:rPr>
        <w:br w:type="page"/>
      </w:r>
    </w:p>
    <w:p w:rsidR="001A1DF9" w:rsidRDefault="00147AAF" w:rsidP="00A56ADD">
      <w:pPr>
        <w:spacing w:line="480" w:lineRule="auto"/>
        <w:jc w:val="both"/>
        <w:rPr>
          <w:rFonts w:ascii="Century Gothic" w:hAnsi="Century Gothic"/>
          <w:b/>
        </w:rPr>
      </w:pPr>
      <w:r>
        <w:rPr>
          <w:rFonts w:ascii="Century Gothic" w:hAnsi="Century Gothic"/>
          <w:b/>
        </w:rPr>
        <w:lastRenderedPageBreak/>
        <w:t>Resultados</w:t>
      </w:r>
    </w:p>
    <w:p w:rsidR="001A1DF9" w:rsidRDefault="00147AAF" w:rsidP="00A56ADD">
      <w:pPr>
        <w:spacing w:line="480" w:lineRule="auto"/>
        <w:jc w:val="both"/>
        <w:rPr>
          <w:rFonts w:ascii="Century Gothic" w:hAnsi="Century Gothic"/>
          <w:b/>
        </w:rPr>
      </w:pPr>
      <w:r>
        <w:rPr>
          <w:rFonts w:ascii="Century Gothic" w:hAnsi="Century Gothic"/>
          <w:b/>
        </w:rPr>
        <w:t>Resultados del servicio MAPA</w:t>
      </w:r>
    </w:p>
    <w:p w:rsidR="001A1DF9" w:rsidRDefault="00147AAF" w:rsidP="00A56ADD">
      <w:pPr>
        <w:spacing w:line="480" w:lineRule="auto"/>
        <w:jc w:val="both"/>
        <w:rPr>
          <w:rFonts w:ascii="Century Gothic" w:hAnsi="Century Gothic"/>
        </w:rPr>
      </w:pPr>
      <w:r>
        <w:rPr>
          <w:rFonts w:ascii="Century Gothic" w:hAnsi="Century Gothic"/>
        </w:rPr>
        <w:t>En el periodo estudiado (2012-2103) se han realizado 38 MAPA a pacientes en edades comprendidas entre los 25 y 85 años, de los cuales un 63,2 % eran hombres y un 36,8 % mujeres. En un 60,5 % de los pacientes el servicio de MAPA se utilizó como seguimiento del tratamiento antihipertensivo y en el 39,5 % restante como cribado (figuras 2 y 3).</w:t>
      </w:r>
    </w:p>
    <w:p w:rsidR="001A1DF9" w:rsidRDefault="00147AAF" w:rsidP="00A56ADD">
      <w:pPr>
        <w:spacing w:line="480" w:lineRule="auto"/>
        <w:jc w:val="both"/>
        <w:rPr>
          <w:rFonts w:ascii="Century Gothic" w:hAnsi="Century Gothic"/>
        </w:rPr>
      </w:pPr>
      <w:r>
        <w:rPr>
          <w:rFonts w:ascii="Century Gothic" w:hAnsi="Century Gothic"/>
        </w:rPr>
        <w:t>Un 42,1 % (n=16) de los pacientes presentaban antecedentes familiares de enfermedad cardiovascular (ECV) precoz,  un 21,0 % (n=8)  antecedentes personales de enfermedad vascular y un 36,8 % (n=14) factores de riesgo cardiovascular (diabetes, hipercolesterolemia, tabaquismo).</w:t>
      </w:r>
    </w:p>
    <w:p w:rsidR="001A1DF9" w:rsidRDefault="00147AAF" w:rsidP="00A56ADD">
      <w:pPr>
        <w:spacing w:line="480" w:lineRule="auto"/>
        <w:jc w:val="both"/>
        <w:rPr>
          <w:rFonts w:ascii="Century Gothic" w:hAnsi="Century Gothic"/>
        </w:rPr>
      </w:pPr>
      <w:r>
        <w:rPr>
          <w:rFonts w:ascii="Century Gothic" w:hAnsi="Century Gothic"/>
        </w:rPr>
        <w:t xml:space="preserve">Según la evolución de los valores de la presión arterial (PA) en la MAPA, un 39,5% (n=15) de pacientes presentaron patrón </w:t>
      </w:r>
      <w:r>
        <w:rPr>
          <w:rFonts w:ascii="Century Gothic" w:hAnsi="Century Gothic"/>
          <w:b/>
        </w:rPr>
        <w:t>NON DIPPER</w:t>
      </w:r>
      <w:r>
        <w:rPr>
          <w:rFonts w:ascii="Century Gothic" w:hAnsi="Century Gothic"/>
        </w:rPr>
        <w:t>,un 34,2 % (n=13)</w:t>
      </w:r>
      <w:r>
        <w:rPr>
          <w:rFonts w:ascii="Century Gothic" w:hAnsi="Century Gothic"/>
          <w:b/>
        </w:rPr>
        <w:t xml:space="preserve">RISER, </w:t>
      </w:r>
      <w:r>
        <w:rPr>
          <w:rFonts w:ascii="Century Gothic" w:hAnsi="Century Gothic"/>
        </w:rPr>
        <w:t>un 21,0% (n=8)</w:t>
      </w:r>
      <w:r>
        <w:rPr>
          <w:rFonts w:ascii="Century Gothic" w:hAnsi="Century Gothic"/>
          <w:b/>
        </w:rPr>
        <w:t>DIPPER</w:t>
      </w:r>
      <w:r>
        <w:rPr>
          <w:rFonts w:ascii="Century Gothic" w:hAnsi="Century Gothic"/>
        </w:rPr>
        <w:t>y un 5,3 % (n=2)</w:t>
      </w:r>
      <w:r>
        <w:rPr>
          <w:rFonts w:ascii="Century Gothic" w:hAnsi="Century Gothic"/>
          <w:b/>
        </w:rPr>
        <w:t xml:space="preserve"> EXTREME DIPPER </w:t>
      </w:r>
      <w:r>
        <w:rPr>
          <w:rFonts w:ascii="Century Gothic" w:hAnsi="Century Gothic"/>
        </w:rPr>
        <w:t>(figura 4).</w:t>
      </w:r>
    </w:p>
    <w:p w:rsidR="001A1DF9" w:rsidRDefault="00147AAF" w:rsidP="00A56ADD">
      <w:pPr>
        <w:spacing w:line="480" w:lineRule="auto"/>
        <w:jc w:val="both"/>
        <w:rPr>
          <w:rFonts w:ascii="Century Gothic" w:hAnsi="Century Gothic"/>
        </w:rPr>
      </w:pPr>
      <w:r>
        <w:rPr>
          <w:rFonts w:ascii="Century Gothic" w:hAnsi="Century Gothic"/>
        </w:rPr>
        <w:t xml:space="preserve">Los pacientes con patrón </w:t>
      </w:r>
      <w:r>
        <w:rPr>
          <w:rFonts w:ascii="Century Gothic" w:hAnsi="Century Gothic"/>
          <w:b/>
        </w:rPr>
        <w:t>NON DIPPER</w:t>
      </w:r>
      <w:r>
        <w:rPr>
          <w:rFonts w:ascii="Century Gothic" w:hAnsi="Century Gothic"/>
        </w:rPr>
        <w:t xml:space="preserve"> o </w:t>
      </w:r>
      <w:r>
        <w:rPr>
          <w:rFonts w:ascii="Century Gothic" w:hAnsi="Century Gothic"/>
          <w:b/>
        </w:rPr>
        <w:t>RISER</w:t>
      </w:r>
      <w:r>
        <w:rPr>
          <w:rFonts w:ascii="Century Gothic" w:hAnsi="Century Gothic"/>
        </w:rPr>
        <w:t xml:space="preserve"> presentan un pronóstico cardiovascular o de progresión de la lesión de los órganos diana más desfavorable que aquellos pacientes con patrón </w:t>
      </w:r>
      <w:r>
        <w:rPr>
          <w:rFonts w:ascii="Century Gothic" w:hAnsi="Century Gothic"/>
          <w:b/>
        </w:rPr>
        <w:t>DIPPER</w:t>
      </w:r>
      <w:r>
        <w:rPr>
          <w:rFonts w:ascii="Century Gothic" w:hAnsi="Century Gothic"/>
        </w:rPr>
        <w:t xml:space="preserve">. </w:t>
      </w:r>
    </w:p>
    <w:p w:rsidR="001A1DF9" w:rsidRDefault="00147AAF" w:rsidP="00A56ADD">
      <w:pPr>
        <w:tabs>
          <w:tab w:val="left" w:pos="5940"/>
        </w:tabs>
        <w:spacing w:line="480" w:lineRule="auto"/>
        <w:jc w:val="both"/>
        <w:rPr>
          <w:rFonts w:ascii="Century Gothic" w:hAnsi="Century Gothic"/>
        </w:rPr>
      </w:pPr>
      <w:r>
        <w:rPr>
          <w:rFonts w:ascii="Century Gothic" w:hAnsi="Century Gothic"/>
        </w:rPr>
        <w:t>En los años 2012 y 2013 tras la remisión al médico con los resultados obtenidos, el 21,0 % (n=8) de los pacientes sufrió modificaciones en su tratamiento. En 2012 los principales cambios en el tratamiento correspondieron a aumento de la dosis de fármaco frente a la reducción de dosis de medicamento y cronoterapia en 2013.</w:t>
      </w:r>
    </w:p>
    <w:p w:rsidR="001A1DF9" w:rsidRDefault="00147AAF" w:rsidP="00A56ADD">
      <w:pPr>
        <w:tabs>
          <w:tab w:val="left" w:pos="5940"/>
        </w:tabs>
        <w:spacing w:line="480" w:lineRule="auto"/>
        <w:jc w:val="both"/>
        <w:rPr>
          <w:rFonts w:ascii="Century Gothic" w:hAnsi="Century Gothic"/>
          <w:b/>
        </w:rPr>
      </w:pPr>
      <w:r>
        <w:rPr>
          <w:rFonts w:ascii="Century Gothic" w:hAnsi="Century Gothic"/>
          <w:b/>
        </w:rPr>
        <w:t>Resultados de la detección de posibles pacientes hipertensos</w:t>
      </w:r>
    </w:p>
    <w:p w:rsidR="001A1DF9" w:rsidRDefault="00147AAF" w:rsidP="00A56ADD">
      <w:pPr>
        <w:tabs>
          <w:tab w:val="left" w:pos="5940"/>
        </w:tabs>
        <w:spacing w:line="480" w:lineRule="auto"/>
        <w:jc w:val="both"/>
        <w:rPr>
          <w:rFonts w:ascii="Century Gothic" w:hAnsi="Century Gothic"/>
        </w:rPr>
      </w:pPr>
      <w:r>
        <w:rPr>
          <w:rFonts w:ascii="Century Gothic" w:hAnsi="Century Gothic"/>
        </w:rPr>
        <w:lastRenderedPageBreak/>
        <w:t>En el periodo estudiado (2012-2013) se han abierto 48 informes de detección de hipertensos ocultos, de los que un 56,2 % eran mujeres y un 43,8 % hombres. Un 41,7 % de estos informes fue completado y enviado al médico para su valoración. De estas derivaciones al médico un 60,0 % acudió nuevamente a la farmacia y el 40,0 % restante se desconoce qué ocurrió con ellos.</w:t>
      </w:r>
    </w:p>
    <w:p w:rsidR="001A1DF9" w:rsidRDefault="00147AAF" w:rsidP="00A56ADD">
      <w:pPr>
        <w:tabs>
          <w:tab w:val="left" w:pos="5940"/>
        </w:tabs>
        <w:spacing w:line="480" w:lineRule="auto"/>
        <w:jc w:val="both"/>
        <w:rPr>
          <w:rFonts w:ascii="Century Gothic" w:hAnsi="Century Gothic"/>
        </w:rPr>
      </w:pPr>
      <w:r>
        <w:rPr>
          <w:rFonts w:ascii="Century Gothic" w:hAnsi="Century Gothic"/>
        </w:rPr>
        <w:t>En un 22,9 % de los informes abiertos se fueron normalizando las cifras de presión arterial y por ello no se llegó a enviar al médico, y en un 35,4 % no se consiguió completar los 3 valores especificados en nuestro protocolo de intervención (figura 5).</w:t>
      </w:r>
    </w:p>
    <w:p w:rsidR="001A1DF9" w:rsidRDefault="00147AAF" w:rsidP="00A56ADD">
      <w:pPr>
        <w:tabs>
          <w:tab w:val="left" w:pos="5940"/>
        </w:tabs>
        <w:spacing w:line="480" w:lineRule="auto"/>
        <w:jc w:val="both"/>
        <w:rPr>
          <w:rFonts w:ascii="Century Gothic" w:hAnsi="Century Gothic"/>
        </w:rPr>
      </w:pPr>
      <w:r>
        <w:rPr>
          <w:rFonts w:ascii="Century Gothic" w:hAnsi="Century Gothic"/>
        </w:rPr>
        <w:t>Un 91,6 % de los que acudieron de nuevo a la farmacia recibieron tratamiento farmacológico antihipertensivo frente al 8,4 % que se le recomendó medidas higiénicas.</w:t>
      </w:r>
    </w:p>
    <w:p w:rsidR="001A1DF9" w:rsidRDefault="00147AAF" w:rsidP="00A56ADD">
      <w:pPr>
        <w:tabs>
          <w:tab w:val="left" w:pos="5940"/>
        </w:tabs>
        <w:spacing w:line="480" w:lineRule="auto"/>
        <w:jc w:val="both"/>
        <w:rPr>
          <w:rFonts w:ascii="Century Gothic" w:hAnsi="Century Gothic"/>
        </w:rPr>
      </w:pPr>
      <w:r>
        <w:rPr>
          <w:rFonts w:ascii="Century Gothic" w:hAnsi="Century Gothic"/>
        </w:rPr>
        <w:t>El principal grupo terapéutico prescrito ha sido IECA (72,7 %) seguido de ARA-II (27,3 %).</w:t>
      </w:r>
    </w:p>
    <w:p w:rsidR="00A56ADD" w:rsidRDefault="00A56ADD">
      <w:pPr>
        <w:rPr>
          <w:rFonts w:ascii="Century Gothic" w:hAnsi="Century Gothic"/>
          <w:b/>
        </w:rPr>
      </w:pPr>
      <w:r>
        <w:rPr>
          <w:rFonts w:ascii="Century Gothic" w:hAnsi="Century Gothic"/>
          <w:b/>
        </w:rPr>
        <w:br w:type="page"/>
      </w:r>
    </w:p>
    <w:p w:rsidR="001A1DF9" w:rsidRDefault="00147AAF" w:rsidP="00A56ADD">
      <w:pPr>
        <w:tabs>
          <w:tab w:val="left" w:pos="5940"/>
        </w:tabs>
        <w:spacing w:line="480" w:lineRule="auto"/>
        <w:jc w:val="both"/>
        <w:rPr>
          <w:rFonts w:ascii="Century Gothic" w:hAnsi="Century Gothic"/>
          <w:b/>
        </w:rPr>
      </w:pPr>
      <w:r>
        <w:rPr>
          <w:rFonts w:ascii="Century Gothic" w:hAnsi="Century Gothic"/>
          <w:b/>
        </w:rPr>
        <w:lastRenderedPageBreak/>
        <w:t>Discusión</w:t>
      </w:r>
    </w:p>
    <w:p w:rsidR="001A1DF9" w:rsidRDefault="00147AAF" w:rsidP="00A56ADD">
      <w:pPr>
        <w:tabs>
          <w:tab w:val="left" w:pos="5940"/>
        </w:tabs>
        <w:spacing w:line="480" w:lineRule="auto"/>
        <w:jc w:val="both"/>
        <w:rPr>
          <w:rFonts w:ascii="Century Gothic" w:hAnsi="Century Gothic"/>
          <w:color w:val="000000"/>
          <w:lang w:val="es-ES"/>
        </w:rPr>
      </w:pPr>
      <w:r>
        <w:rPr>
          <w:rFonts w:ascii="Century Gothic" w:hAnsi="Century Gothic"/>
          <w:color w:val="000000"/>
          <w:lang w:val="ca-ES"/>
        </w:rPr>
        <w:t xml:space="preserve">La medida aislada de la presión arterial obtenida de forma eventual o fortuita en farmacia comunitaria puede considerarse como un punto de partida en el diagnóstico, seguimiento y tratamiento de la HTA. Una de las limitaciones del servicio de cribado ha sido la pérdida de pacientes, reflejado en el porcentaje de pacientes que tras ser derivados al médico no acuden nuevamente a la farmacia </w:t>
      </w:r>
      <w:r>
        <w:rPr>
          <w:rFonts w:ascii="Century Gothic" w:hAnsi="Century Gothic"/>
          <w:color w:val="000000"/>
          <w:lang w:val="es-ES"/>
        </w:rPr>
        <w:t>(40 %) y en el de aquellos que no fue posible completar los tres valores necesarios para confirmar la sospecha de HTA (35,4 %). Por ello, se espera</w:t>
      </w:r>
      <w:r w:rsidR="00AA5175">
        <w:rPr>
          <w:rFonts w:ascii="Century Gothic" w:hAnsi="Century Gothic"/>
          <w:color w:val="000000"/>
          <w:lang w:val="es-ES"/>
        </w:rPr>
        <w:t>ba</w:t>
      </w:r>
      <w:r>
        <w:rPr>
          <w:rFonts w:ascii="Century Gothic" w:hAnsi="Century Gothic"/>
          <w:color w:val="000000"/>
          <w:lang w:val="es-ES"/>
        </w:rPr>
        <w:t xml:space="preserve"> que la utilización complementaria de </w:t>
      </w:r>
      <w:r>
        <w:rPr>
          <w:rFonts w:ascii="Century Gothic" w:hAnsi="Century Gothic"/>
          <w:color w:val="000000"/>
          <w:lang w:val="ca-ES"/>
        </w:rPr>
        <w:t xml:space="preserve">dos diferentes métodos de medida de </w:t>
      </w:r>
      <w:r>
        <w:rPr>
          <w:rFonts w:ascii="Century Gothic" w:hAnsi="Century Gothic"/>
          <w:color w:val="000000"/>
          <w:lang w:val="es-ES"/>
        </w:rPr>
        <w:t>PA</w:t>
      </w:r>
      <w:r>
        <w:rPr>
          <w:rFonts w:ascii="Century Gothic" w:hAnsi="Century Gothic"/>
          <w:color w:val="000000"/>
          <w:lang w:val="ca-ES"/>
        </w:rPr>
        <w:t>, medida aislada en farmacia comunitaria y MAP</w:t>
      </w:r>
      <w:r>
        <w:rPr>
          <w:rFonts w:ascii="Century Gothic" w:hAnsi="Century Gothic"/>
          <w:color w:val="000000"/>
          <w:lang w:val="es-ES"/>
        </w:rPr>
        <w:t>A, pud</w:t>
      </w:r>
      <w:r w:rsidR="00AA5175">
        <w:rPr>
          <w:rFonts w:ascii="Century Gothic" w:hAnsi="Century Gothic"/>
          <w:color w:val="000000"/>
          <w:lang w:val="es-ES"/>
        </w:rPr>
        <w:t xml:space="preserve">iera </w:t>
      </w:r>
      <w:r>
        <w:rPr>
          <w:rFonts w:ascii="Century Gothic" w:hAnsi="Century Gothic"/>
          <w:color w:val="000000"/>
          <w:lang w:val="es-ES"/>
        </w:rPr>
        <w:t xml:space="preserve">reducir esta pérdida de pacientes. </w:t>
      </w:r>
    </w:p>
    <w:p w:rsidR="001A1DF9" w:rsidRDefault="0069208C" w:rsidP="00A56ADD">
      <w:pPr>
        <w:tabs>
          <w:tab w:val="left" w:pos="5940"/>
        </w:tabs>
        <w:spacing w:line="480" w:lineRule="auto"/>
        <w:jc w:val="both"/>
        <w:rPr>
          <w:rFonts w:ascii="Century Gothic" w:hAnsi="Century Gothic"/>
          <w:color w:val="000000"/>
          <w:lang w:val="es-ES"/>
        </w:rPr>
      </w:pPr>
      <w:r>
        <w:rPr>
          <w:rFonts w:ascii="Century Gothic" w:hAnsi="Century Gothic"/>
          <w:color w:val="000000"/>
          <w:lang w:val="es-ES"/>
        </w:rPr>
        <w:t xml:space="preserve">Si se comparan los resultados obtenidos en el cribado de HTA con los recogidos en </w:t>
      </w:r>
      <w:r w:rsidR="00CE55E0">
        <w:rPr>
          <w:rFonts w:ascii="Century Gothic" w:hAnsi="Century Gothic"/>
          <w:color w:val="000000"/>
          <w:lang w:val="es-ES"/>
        </w:rPr>
        <w:t xml:space="preserve">el </w:t>
      </w:r>
      <w:r w:rsidR="00147AAF">
        <w:rPr>
          <w:rFonts w:ascii="Century Gothic" w:hAnsi="Century Gothic"/>
          <w:color w:val="000000"/>
          <w:lang w:val="es-ES"/>
        </w:rPr>
        <w:t xml:space="preserve">periodo abril 2008/junio 2011, </w:t>
      </w:r>
      <w:r>
        <w:rPr>
          <w:rFonts w:ascii="Century Gothic" w:hAnsi="Century Gothic"/>
          <w:color w:val="000000"/>
          <w:lang w:val="es-ES"/>
        </w:rPr>
        <w:t>se puede observar que se continúan produciendo pérdidas de pacientes</w:t>
      </w:r>
      <w:r w:rsidR="00422D05">
        <w:rPr>
          <w:rFonts w:ascii="Century Gothic" w:hAnsi="Century Gothic"/>
          <w:color w:val="000000"/>
          <w:lang w:val="es-ES"/>
        </w:rPr>
        <w:t xml:space="preserve"> en porcentajes parecidos</w:t>
      </w:r>
      <w:r>
        <w:rPr>
          <w:rFonts w:ascii="Century Gothic" w:hAnsi="Century Gothic"/>
          <w:color w:val="000000"/>
          <w:lang w:val="es-ES"/>
        </w:rPr>
        <w:t xml:space="preserve">; </w:t>
      </w:r>
      <w:r w:rsidR="00422D05">
        <w:rPr>
          <w:rFonts w:ascii="Century Gothic" w:hAnsi="Century Gothic"/>
          <w:color w:val="000000"/>
          <w:lang w:val="es-ES"/>
        </w:rPr>
        <w:t>d</w:t>
      </w:r>
      <w:r w:rsidR="00147AAF">
        <w:rPr>
          <w:rFonts w:ascii="Century Gothic" w:hAnsi="Century Gothic"/>
          <w:color w:val="000000"/>
          <w:lang w:val="es-ES"/>
        </w:rPr>
        <w:t>e los informes terminados y enviados al médico hubo un 65 % que acudió nuevamente a la farmacia y un 35 % que se desconoce que ocurrió con ellos.</w:t>
      </w:r>
    </w:p>
    <w:p w:rsidR="001A1DF9" w:rsidRDefault="00147AAF" w:rsidP="00A56ADD">
      <w:pPr>
        <w:tabs>
          <w:tab w:val="left" w:pos="5940"/>
        </w:tabs>
        <w:spacing w:line="480" w:lineRule="auto"/>
        <w:jc w:val="both"/>
        <w:rPr>
          <w:rFonts w:ascii="Century Gothic" w:hAnsi="Century Gothic"/>
          <w:color w:val="000000"/>
          <w:lang w:val="ca-ES"/>
        </w:rPr>
      </w:pPr>
      <w:r>
        <w:rPr>
          <w:rFonts w:ascii="Century Gothic" w:hAnsi="Century Gothic"/>
          <w:color w:val="000000"/>
          <w:lang w:val="ca-ES"/>
        </w:rPr>
        <w:t>Con la incorporación del servicio de MAPA se ha pretendido</w:t>
      </w:r>
      <w:r w:rsidR="005F7CCA">
        <w:rPr>
          <w:rFonts w:ascii="Century Gothic" w:hAnsi="Century Gothic"/>
          <w:color w:val="000000"/>
          <w:lang w:val="ca-ES"/>
        </w:rPr>
        <w:t xml:space="preserve"> </w:t>
      </w:r>
      <w:r>
        <w:rPr>
          <w:rFonts w:ascii="Century Gothic" w:hAnsi="Century Gothic"/>
          <w:color w:val="000000"/>
          <w:lang w:val="ca-ES"/>
        </w:rPr>
        <w:t>superar las limitaciones que presenta la medición aislada de PA, pues el dispositivo empleado para MAPA permite evitar el efecto de "bata blanca" y proporciona información sobre la variabilidad de la PA y su patrón circadiano durante la actividad cotidiana del paciente</w:t>
      </w:r>
      <w:r>
        <w:rPr>
          <w:rFonts w:ascii="Century Gothic" w:hAnsi="Century Gothic"/>
          <w:color w:val="000000"/>
          <w:vertAlign w:val="superscript"/>
          <w:lang w:val="ca-ES"/>
        </w:rPr>
        <w:t>6</w:t>
      </w:r>
      <w:r>
        <w:rPr>
          <w:rFonts w:ascii="Century Gothic" w:hAnsi="Century Gothic"/>
          <w:color w:val="000000"/>
          <w:lang w:val="ca-ES"/>
        </w:rPr>
        <w:t xml:space="preserve">. </w:t>
      </w:r>
    </w:p>
    <w:p w:rsidR="001A1DF9" w:rsidRDefault="00147AAF" w:rsidP="00A56ADD">
      <w:pPr>
        <w:tabs>
          <w:tab w:val="left" w:pos="5940"/>
        </w:tabs>
        <w:spacing w:line="480" w:lineRule="auto"/>
        <w:jc w:val="both"/>
        <w:rPr>
          <w:rFonts w:ascii="Century Gothic" w:hAnsi="Century Gothic"/>
          <w:color w:val="000000"/>
          <w:lang w:val="ca-ES"/>
        </w:rPr>
      </w:pPr>
      <w:r>
        <w:rPr>
          <w:rFonts w:ascii="Century Gothic" w:hAnsi="Century Gothic"/>
          <w:color w:val="000000"/>
          <w:lang w:val="ca-ES"/>
        </w:rPr>
        <w:t>A pesar de estas ventajas se trata de un servicio todavía infrautilizado. Uno de los principales obstáculos que ha impedido un mayor desarrollo de la MAPA ha sido el rechazo de algunos pacientes a recibir este servicio</w:t>
      </w:r>
      <w:r>
        <w:rPr>
          <w:rFonts w:ascii="Century Gothic" w:hAnsi="Century Gothic"/>
          <w:color w:val="000000"/>
          <w:vertAlign w:val="superscript"/>
          <w:lang w:val="ca-ES"/>
        </w:rPr>
        <w:t>7</w:t>
      </w:r>
      <w:r>
        <w:rPr>
          <w:rFonts w:ascii="Century Gothic" w:hAnsi="Century Gothic"/>
          <w:color w:val="000000"/>
          <w:lang w:val="ca-ES"/>
        </w:rPr>
        <w:t>.</w:t>
      </w:r>
    </w:p>
    <w:p w:rsidR="001A1DF9" w:rsidRDefault="00147AAF" w:rsidP="00A56ADD">
      <w:pPr>
        <w:spacing w:line="480" w:lineRule="auto"/>
        <w:jc w:val="both"/>
        <w:rPr>
          <w:rFonts w:ascii="Century Gothic" w:hAnsi="Century Gothic"/>
          <w:i/>
          <w:color w:val="000000"/>
          <w:lang w:val="ca-ES"/>
        </w:rPr>
      </w:pPr>
      <w:r>
        <w:rPr>
          <w:rFonts w:ascii="Century Gothic" w:hAnsi="Century Gothic"/>
          <w:color w:val="000000"/>
          <w:lang w:val="ca-ES"/>
        </w:rPr>
        <w:lastRenderedPageBreak/>
        <w:t xml:space="preserve">A pesar de </w:t>
      </w:r>
      <w:r w:rsidR="00422D05">
        <w:rPr>
          <w:rFonts w:ascii="Century Gothic" w:hAnsi="Century Gothic"/>
          <w:color w:val="000000"/>
          <w:lang w:val="ca-ES"/>
        </w:rPr>
        <w:t>haber</w:t>
      </w:r>
      <w:r w:rsidR="005F7CCA">
        <w:rPr>
          <w:rFonts w:ascii="Century Gothic" w:hAnsi="Century Gothic"/>
          <w:color w:val="000000"/>
          <w:lang w:val="ca-ES"/>
        </w:rPr>
        <w:t xml:space="preserve"> </w:t>
      </w:r>
      <w:r>
        <w:rPr>
          <w:rFonts w:ascii="Century Gothic" w:hAnsi="Century Gothic"/>
          <w:color w:val="000000"/>
          <w:lang w:val="ca-ES"/>
        </w:rPr>
        <w:t>realizado MAPA a pacientes</w:t>
      </w:r>
      <w:r w:rsidR="005F7CCA">
        <w:rPr>
          <w:rFonts w:ascii="Century Gothic" w:hAnsi="Century Gothic"/>
          <w:color w:val="000000"/>
          <w:lang w:val="ca-ES"/>
        </w:rPr>
        <w:t xml:space="preserve"> </w:t>
      </w:r>
      <w:r>
        <w:rPr>
          <w:rFonts w:ascii="Century Gothic" w:hAnsi="Century Gothic"/>
          <w:color w:val="000000"/>
          <w:lang w:val="ca-ES"/>
        </w:rPr>
        <w:t>derivados</w:t>
      </w:r>
      <w:r w:rsidR="005F7CCA">
        <w:rPr>
          <w:rFonts w:ascii="Century Gothic" w:hAnsi="Century Gothic"/>
          <w:color w:val="000000"/>
          <w:lang w:val="ca-ES"/>
        </w:rPr>
        <w:t xml:space="preserve"> </w:t>
      </w:r>
      <w:r>
        <w:rPr>
          <w:rFonts w:ascii="Century Gothic" w:hAnsi="Century Gothic"/>
          <w:color w:val="000000"/>
          <w:lang w:val="ca-ES"/>
        </w:rPr>
        <w:t>desde las consultas</w:t>
      </w:r>
      <w:r w:rsidR="005F7CCA">
        <w:rPr>
          <w:rFonts w:ascii="Century Gothic" w:hAnsi="Century Gothic"/>
          <w:color w:val="000000"/>
          <w:lang w:val="ca-ES"/>
        </w:rPr>
        <w:t xml:space="preserve"> </w:t>
      </w:r>
      <w:r>
        <w:rPr>
          <w:rFonts w:ascii="Century Gothic" w:hAnsi="Century Gothic"/>
          <w:color w:val="000000"/>
          <w:lang w:val="ca-ES"/>
        </w:rPr>
        <w:t xml:space="preserve">médicas del </w:t>
      </w:r>
      <w:r w:rsidR="00422D05">
        <w:rPr>
          <w:rFonts w:ascii="Century Gothic" w:hAnsi="Century Gothic"/>
          <w:color w:val="000000"/>
          <w:lang w:val="ca-ES"/>
        </w:rPr>
        <w:t>c</w:t>
      </w:r>
      <w:r>
        <w:rPr>
          <w:rFonts w:ascii="Century Gothic" w:hAnsi="Century Gothic"/>
          <w:color w:val="000000"/>
          <w:lang w:val="ca-ES"/>
        </w:rPr>
        <w:t xml:space="preserve">entro de </w:t>
      </w:r>
      <w:r w:rsidR="00422D05">
        <w:rPr>
          <w:rFonts w:ascii="Century Gothic" w:hAnsi="Century Gothic"/>
          <w:color w:val="000000"/>
          <w:lang w:val="ca-ES"/>
        </w:rPr>
        <w:t>a</w:t>
      </w:r>
      <w:r>
        <w:rPr>
          <w:rFonts w:ascii="Century Gothic" w:hAnsi="Century Gothic"/>
          <w:color w:val="000000"/>
          <w:lang w:val="ca-ES"/>
        </w:rPr>
        <w:t>tención</w:t>
      </w:r>
      <w:r w:rsidR="005F7CCA">
        <w:rPr>
          <w:rFonts w:ascii="Century Gothic" w:hAnsi="Century Gothic"/>
          <w:color w:val="000000"/>
          <w:lang w:val="ca-ES"/>
        </w:rPr>
        <w:t xml:space="preserve"> </w:t>
      </w:r>
      <w:r w:rsidR="00422D05">
        <w:rPr>
          <w:rFonts w:ascii="Century Gothic" w:hAnsi="Century Gothic"/>
          <w:color w:val="000000"/>
          <w:lang w:val="ca-ES"/>
        </w:rPr>
        <w:t>p</w:t>
      </w:r>
      <w:r>
        <w:rPr>
          <w:rFonts w:ascii="Century Gothic" w:hAnsi="Century Gothic"/>
          <w:color w:val="000000"/>
          <w:lang w:val="ca-ES"/>
        </w:rPr>
        <w:t>rimaria, otra de las barreras para el despliegue de estos servicios se encuentra</w:t>
      </w:r>
      <w:r w:rsidR="005F7CCA">
        <w:rPr>
          <w:rFonts w:ascii="Century Gothic" w:hAnsi="Century Gothic"/>
          <w:color w:val="000000"/>
          <w:lang w:val="ca-ES"/>
        </w:rPr>
        <w:t xml:space="preserve"> </w:t>
      </w:r>
      <w:r>
        <w:rPr>
          <w:rFonts w:ascii="Century Gothic" w:hAnsi="Century Gothic"/>
          <w:color w:val="000000"/>
          <w:lang w:val="ca-ES"/>
        </w:rPr>
        <w:t>en una falta de integración</w:t>
      </w:r>
      <w:r w:rsidR="005F7CCA">
        <w:rPr>
          <w:rFonts w:ascii="Century Gothic" w:hAnsi="Century Gothic"/>
          <w:color w:val="000000"/>
          <w:lang w:val="ca-ES"/>
        </w:rPr>
        <w:t xml:space="preserve"> </w:t>
      </w:r>
      <w:r>
        <w:rPr>
          <w:rFonts w:ascii="Century Gothic" w:hAnsi="Century Gothic"/>
          <w:color w:val="000000"/>
          <w:lang w:val="ca-ES"/>
        </w:rPr>
        <w:t>de nuestra</w:t>
      </w:r>
      <w:r w:rsidR="005F7CCA">
        <w:rPr>
          <w:rFonts w:ascii="Century Gothic" w:hAnsi="Century Gothic"/>
          <w:color w:val="000000"/>
          <w:lang w:val="ca-ES"/>
        </w:rPr>
        <w:t xml:space="preserve"> </w:t>
      </w:r>
      <w:r>
        <w:rPr>
          <w:rFonts w:ascii="Century Gothic" w:hAnsi="Century Gothic"/>
          <w:color w:val="000000"/>
          <w:lang w:val="ca-ES"/>
        </w:rPr>
        <w:t>farmacia en el sistema sanitario. Estos servicios</w:t>
      </w:r>
      <w:r w:rsidR="005F7CCA">
        <w:rPr>
          <w:rFonts w:ascii="Century Gothic" w:hAnsi="Century Gothic"/>
          <w:color w:val="000000"/>
          <w:lang w:val="ca-ES"/>
        </w:rPr>
        <w:t xml:space="preserve"> </w:t>
      </w:r>
      <w:r>
        <w:rPr>
          <w:rFonts w:ascii="Century Gothic" w:hAnsi="Century Gothic"/>
          <w:color w:val="000000"/>
          <w:lang w:val="ca-ES"/>
        </w:rPr>
        <w:t>funcionarían</w:t>
      </w:r>
      <w:r w:rsidR="005F7CCA">
        <w:rPr>
          <w:rFonts w:ascii="Century Gothic" w:hAnsi="Century Gothic"/>
          <w:color w:val="000000"/>
          <w:lang w:val="ca-ES"/>
        </w:rPr>
        <w:t xml:space="preserve"> </w:t>
      </w:r>
      <w:r>
        <w:rPr>
          <w:rFonts w:ascii="Century Gothic" w:hAnsi="Century Gothic"/>
        </w:rPr>
        <w:t>más eficientemente si se consiguiera elaborar protocolos de actuación consensuados con el personal del centro de atención primaria en el que mayoritariamente son atendidos los usuarios de la farmacia</w:t>
      </w:r>
      <w:r w:rsidR="005F7CCA">
        <w:rPr>
          <w:rFonts w:ascii="Century Gothic" w:hAnsi="Century Gothic"/>
        </w:rPr>
        <w:t xml:space="preserve"> </w:t>
      </w:r>
      <w:r>
        <w:rPr>
          <w:rFonts w:ascii="Century Gothic" w:hAnsi="Century Gothic"/>
        </w:rPr>
        <w:t>y si se dispusiera de una sistemática de derivación de pacientes al sistema sanitario</w:t>
      </w:r>
      <w:r>
        <w:rPr>
          <w:rFonts w:ascii="Century Gothic" w:hAnsi="Century Gothic"/>
          <w:vertAlign w:val="superscript"/>
        </w:rPr>
        <w:t>1,4</w:t>
      </w:r>
      <w:r>
        <w:rPr>
          <w:rFonts w:ascii="Century Gothic" w:hAnsi="Century Gothic"/>
        </w:rPr>
        <w:t>.</w:t>
      </w:r>
    </w:p>
    <w:p w:rsidR="00A56ADD" w:rsidRDefault="00A56ADD">
      <w:pPr>
        <w:rPr>
          <w:rFonts w:ascii="Century Gothic" w:hAnsi="Century Gothic"/>
          <w:b/>
          <w:color w:val="000000"/>
          <w:lang w:val="ca-ES"/>
        </w:rPr>
      </w:pPr>
      <w:r>
        <w:rPr>
          <w:rFonts w:ascii="Century Gothic" w:hAnsi="Century Gothic"/>
          <w:b/>
          <w:color w:val="000000"/>
          <w:lang w:val="ca-ES"/>
        </w:rPr>
        <w:br w:type="page"/>
      </w:r>
    </w:p>
    <w:p w:rsidR="00422D05" w:rsidRDefault="00422D05" w:rsidP="00A56ADD">
      <w:pPr>
        <w:spacing w:line="480" w:lineRule="auto"/>
        <w:jc w:val="both"/>
        <w:rPr>
          <w:rFonts w:ascii="Century Gothic" w:hAnsi="Century Gothic"/>
          <w:color w:val="000000"/>
          <w:lang w:val="ca-ES"/>
        </w:rPr>
      </w:pPr>
      <w:r w:rsidRPr="00422D05">
        <w:rPr>
          <w:rFonts w:ascii="Century Gothic" w:hAnsi="Century Gothic"/>
          <w:b/>
          <w:color w:val="000000"/>
          <w:lang w:val="ca-ES"/>
        </w:rPr>
        <w:lastRenderedPageBreak/>
        <w:t>Conclusiones</w:t>
      </w:r>
    </w:p>
    <w:p w:rsidR="002206EB" w:rsidRDefault="002206EB" w:rsidP="00A56ADD">
      <w:pPr>
        <w:spacing w:line="480" w:lineRule="auto"/>
        <w:jc w:val="both"/>
        <w:rPr>
          <w:rFonts w:ascii="Century Gothic" w:hAnsi="Century Gothic"/>
          <w:color w:val="000000"/>
          <w:lang w:val="ca-ES"/>
        </w:rPr>
      </w:pPr>
      <w:r>
        <w:rPr>
          <w:rFonts w:ascii="Century Gothic" w:hAnsi="Century Gothic"/>
          <w:color w:val="000000"/>
          <w:lang w:val="ca-ES"/>
        </w:rPr>
        <w:t xml:space="preserve">Uno de nuestros futuros objetivos es mejorar la utilización de los diferentes métodos de medida de la PA, MAPA y medida aislada en farmacia comunitaria, de manera complementaria, según protocolos normalizados, consensuados con el equipo </w:t>
      </w:r>
      <w:r w:rsidRPr="002206EB">
        <w:rPr>
          <w:rFonts w:ascii="Century Gothic" w:hAnsi="Century Gothic"/>
          <w:color w:val="000000"/>
          <w:lang w:val="ca-ES"/>
        </w:rPr>
        <w:t>multidisciplinar</w:t>
      </w:r>
      <w:r>
        <w:rPr>
          <w:rFonts w:ascii="Century Gothic" w:hAnsi="Century Gothic"/>
          <w:color w:val="000000"/>
          <w:lang w:val="ca-ES"/>
        </w:rPr>
        <w:t xml:space="preserve"> y adaptados a las necesidades individuales de los pacientes. Un primer paso impulsor de esta colaboración podría ser que los representantes colegiales y sociedades científicas contactaran con la administración sanitaria para poner en marcha programas de actuación unificada.</w:t>
      </w:r>
    </w:p>
    <w:p w:rsidR="005E34A3" w:rsidRPr="005E34A3" w:rsidRDefault="005E34A3" w:rsidP="00A56ADD">
      <w:pPr>
        <w:spacing w:line="480" w:lineRule="auto"/>
        <w:jc w:val="both"/>
        <w:rPr>
          <w:rFonts w:ascii="Century Gothic" w:hAnsi="Century Gothic"/>
        </w:rPr>
      </w:pPr>
      <w:r w:rsidRPr="005E34A3">
        <w:rPr>
          <w:rFonts w:ascii="Century Gothic" w:hAnsi="Century Gothic"/>
          <w:color w:val="000000"/>
          <w:lang w:val="ca-ES"/>
        </w:rPr>
        <w:t>Según</w:t>
      </w:r>
      <w:r w:rsidRPr="005E34A3">
        <w:rPr>
          <w:rFonts w:ascii="Century Gothic" w:hAnsi="Century Gothic"/>
          <w:color w:val="000000"/>
        </w:rPr>
        <w:t xml:space="preserve"> el patrón de reducción nocturna de la PA, en el servicio de MAPA se ha obtenido un mayor porcentaje de pacientes con un patrón circadiano de PA con un peor pronóstico cardiovascular (Non Dipper– 39,5 % y Riser – 34,2 %).</w:t>
      </w:r>
    </w:p>
    <w:p w:rsidR="00294F11" w:rsidRPr="00294F11" w:rsidRDefault="00294F11" w:rsidP="00A56ADD">
      <w:pPr>
        <w:spacing w:line="480" w:lineRule="auto"/>
        <w:jc w:val="both"/>
        <w:rPr>
          <w:rFonts w:ascii="Century Gothic" w:hAnsi="Century Gothic"/>
          <w:color w:val="000000"/>
          <w:lang w:val="ca-ES"/>
        </w:rPr>
      </w:pPr>
      <w:r>
        <w:rPr>
          <w:rFonts w:ascii="Century Gothic" w:hAnsi="Century Gothic"/>
          <w:color w:val="000000"/>
        </w:rPr>
        <w:t>Se debe e</w:t>
      </w:r>
      <w:r w:rsidRPr="00294F11">
        <w:rPr>
          <w:rFonts w:ascii="Century Gothic" w:hAnsi="Century Gothic"/>
          <w:color w:val="000000"/>
        </w:rPr>
        <w:t>vitar</w:t>
      </w:r>
      <w:r w:rsidRPr="00294F11">
        <w:rPr>
          <w:rFonts w:ascii="Century Gothic" w:hAnsi="Century Gothic"/>
          <w:color w:val="000000"/>
          <w:lang w:val="ca-ES"/>
        </w:rPr>
        <w:t xml:space="preserve"> la pérdida de pacientes que inician el programa de </w:t>
      </w:r>
      <w:r>
        <w:rPr>
          <w:rFonts w:ascii="Century Gothic" w:hAnsi="Century Gothic"/>
          <w:color w:val="000000"/>
          <w:lang w:val="ca-ES"/>
        </w:rPr>
        <w:t>visita</w:t>
      </w:r>
      <w:r w:rsidRPr="00294F11">
        <w:rPr>
          <w:rFonts w:ascii="Century Gothic" w:hAnsi="Century Gothic"/>
          <w:color w:val="000000"/>
          <w:lang w:val="ca-ES"/>
        </w:rPr>
        <w:t xml:space="preserve">s programadas para la medición de la presión arterial </w:t>
      </w:r>
      <w:r>
        <w:rPr>
          <w:rFonts w:ascii="Century Gothic" w:hAnsi="Century Gothic"/>
          <w:color w:val="000000"/>
          <w:lang w:val="ca-ES"/>
        </w:rPr>
        <w:t>pero</w:t>
      </w:r>
      <w:r w:rsidRPr="00294F11">
        <w:rPr>
          <w:rFonts w:ascii="Century Gothic" w:hAnsi="Century Gothic"/>
          <w:color w:val="000000"/>
          <w:lang w:val="ca-ES"/>
        </w:rPr>
        <w:t xml:space="preserve"> </w:t>
      </w:r>
      <w:r w:rsidR="00316D53">
        <w:rPr>
          <w:rFonts w:ascii="Century Gothic" w:hAnsi="Century Gothic"/>
          <w:color w:val="000000"/>
          <w:lang w:val="ca-ES"/>
        </w:rPr>
        <w:t xml:space="preserve">que </w:t>
      </w:r>
      <w:r w:rsidRPr="00294F11">
        <w:rPr>
          <w:rFonts w:ascii="Century Gothic" w:hAnsi="Century Gothic"/>
          <w:color w:val="000000"/>
          <w:lang w:val="ca-ES"/>
        </w:rPr>
        <w:t>dejan de asistir a las siguientes</w:t>
      </w:r>
      <w:r>
        <w:rPr>
          <w:rFonts w:ascii="Century Gothic" w:hAnsi="Century Gothic"/>
          <w:color w:val="000000"/>
          <w:lang w:val="ca-ES"/>
        </w:rPr>
        <w:t xml:space="preserve"> </w:t>
      </w:r>
      <w:r w:rsidRPr="00294F11">
        <w:rPr>
          <w:rFonts w:ascii="Century Gothic" w:hAnsi="Century Gothic"/>
          <w:color w:val="000000"/>
          <w:lang w:val="ca-ES"/>
        </w:rPr>
        <w:t>visitas. Se trata del 35,4 % de pacientes en los que no se</w:t>
      </w:r>
      <w:r w:rsidRPr="00294F11">
        <w:rPr>
          <w:rFonts w:ascii="Century Gothic" w:hAnsi="Century Gothic"/>
          <w:color w:val="000000"/>
        </w:rPr>
        <w:t xml:space="preserve"> consiguió completar los 3 valores especificados en nuestro protocolo de intervención</w:t>
      </w:r>
      <w:r w:rsidRPr="00294F11">
        <w:rPr>
          <w:rFonts w:ascii="Century Gothic" w:hAnsi="Century Gothic"/>
          <w:color w:val="000000"/>
          <w:lang w:val="ca-ES"/>
        </w:rPr>
        <w:t>.</w:t>
      </w:r>
      <w:r>
        <w:rPr>
          <w:rFonts w:ascii="Century Gothic" w:hAnsi="Century Gothic"/>
          <w:color w:val="000000"/>
          <w:lang w:val="ca-ES"/>
        </w:rPr>
        <w:t xml:space="preserve"> También se debe r</w:t>
      </w:r>
      <w:r w:rsidRPr="00294F11">
        <w:rPr>
          <w:rFonts w:ascii="Century Gothic" w:hAnsi="Century Gothic"/>
          <w:color w:val="000000"/>
          <w:lang w:val="ca-ES"/>
        </w:rPr>
        <w:t>educir el número de pacientes que no vuelven a la farmacia tras la entrega del informe de detección de HTA para el médico (40 %).</w:t>
      </w:r>
      <w:r>
        <w:rPr>
          <w:rFonts w:ascii="Century Gothic" w:hAnsi="Century Gothic"/>
          <w:color w:val="000000"/>
          <w:lang w:val="ca-ES"/>
        </w:rPr>
        <w:t xml:space="preserve"> </w:t>
      </w:r>
      <w:r w:rsidRPr="002F1817">
        <w:rPr>
          <w:rFonts w:ascii="Century Gothic" w:hAnsi="Century Gothic"/>
          <w:color w:val="000000"/>
          <w:lang w:val="ca-ES"/>
        </w:rPr>
        <w:t>El seguimiento</w:t>
      </w:r>
      <w:r>
        <w:rPr>
          <w:rFonts w:ascii="Century Gothic" w:hAnsi="Century Gothic"/>
          <w:color w:val="000000"/>
          <w:lang w:val="ca-ES"/>
        </w:rPr>
        <w:t xml:space="preserve"> </w:t>
      </w:r>
      <w:r w:rsidRPr="002F1817">
        <w:rPr>
          <w:rFonts w:ascii="Century Gothic" w:hAnsi="Century Gothic"/>
          <w:color w:val="000000"/>
          <w:lang w:val="ca-ES"/>
        </w:rPr>
        <w:t>compartido</w:t>
      </w:r>
      <w:r>
        <w:rPr>
          <w:rFonts w:ascii="Century Gothic" w:hAnsi="Century Gothic"/>
          <w:color w:val="000000"/>
          <w:lang w:val="ca-ES"/>
        </w:rPr>
        <w:t xml:space="preserve"> </w:t>
      </w:r>
      <w:r w:rsidRPr="002F1817">
        <w:rPr>
          <w:rFonts w:ascii="Century Gothic" w:hAnsi="Century Gothic"/>
          <w:color w:val="000000"/>
          <w:lang w:val="ca-ES"/>
        </w:rPr>
        <w:t>de estos pacientes</w:t>
      </w:r>
      <w:r>
        <w:rPr>
          <w:rFonts w:ascii="Century Gothic" w:hAnsi="Century Gothic"/>
          <w:color w:val="000000"/>
          <w:lang w:val="ca-ES"/>
        </w:rPr>
        <w:t xml:space="preserve"> con el centro de atención primaria</w:t>
      </w:r>
      <w:r w:rsidRPr="002F1817">
        <w:rPr>
          <w:rFonts w:ascii="Century Gothic" w:hAnsi="Century Gothic"/>
          <w:color w:val="000000"/>
          <w:lang w:val="ca-ES"/>
        </w:rPr>
        <w:t xml:space="preserve"> posibilitaría</w:t>
      </w:r>
      <w:r>
        <w:rPr>
          <w:rFonts w:ascii="Century Gothic" w:hAnsi="Century Gothic"/>
          <w:color w:val="000000"/>
          <w:lang w:val="ca-ES"/>
        </w:rPr>
        <w:t xml:space="preserve"> </w:t>
      </w:r>
      <w:r w:rsidRPr="002F1817">
        <w:rPr>
          <w:rFonts w:ascii="Century Gothic" w:hAnsi="Century Gothic"/>
          <w:color w:val="000000"/>
          <w:lang w:val="ca-ES"/>
        </w:rPr>
        <w:t>una mayor</w:t>
      </w:r>
      <w:r>
        <w:rPr>
          <w:rFonts w:ascii="Century Gothic" w:hAnsi="Century Gothic"/>
          <w:color w:val="000000"/>
          <w:lang w:val="ca-ES"/>
        </w:rPr>
        <w:t xml:space="preserve"> </w:t>
      </w:r>
      <w:r w:rsidRPr="002F1817">
        <w:rPr>
          <w:rFonts w:ascii="Century Gothic" w:hAnsi="Century Gothic"/>
          <w:color w:val="000000"/>
          <w:lang w:val="ca-ES"/>
        </w:rPr>
        <w:t>comodidad para numerosos</w:t>
      </w:r>
      <w:r>
        <w:rPr>
          <w:rFonts w:ascii="Century Gothic" w:hAnsi="Century Gothic"/>
          <w:color w:val="000000"/>
          <w:lang w:val="ca-ES"/>
        </w:rPr>
        <w:t xml:space="preserve"> </w:t>
      </w:r>
      <w:r w:rsidRPr="002F1817">
        <w:rPr>
          <w:rFonts w:ascii="Century Gothic" w:hAnsi="Century Gothic"/>
          <w:color w:val="000000"/>
          <w:lang w:val="ca-ES"/>
        </w:rPr>
        <w:t>pacientes</w:t>
      </w:r>
      <w:r>
        <w:rPr>
          <w:rFonts w:ascii="Century Gothic" w:hAnsi="Century Gothic"/>
          <w:color w:val="000000"/>
          <w:lang w:val="ca-ES"/>
        </w:rPr>
        <w:t xml:space="preserve"> y posiblemente una disminución de la pérdida de pacientes. </w:t>
      </w:r>
    </w:p>
    <w:p w:rsidR="00294F11" w:rsidRDefault="00294F11" w:rsidP="00A56ADD">
      <w:pPr>
        <w:spacing w:line="480" w:lineRule="auto"/>
        <w:jc w:val="both"/>
        <w:rPr>
          <w:rFonts w:ascii="Century Gothic" w:hAnsi="Century Gothic"/>
        </w:rPr>
      </w:pPr>
      <w:r>
        <w:rPr>
          <w:rFonts w:ascii="Century Gothic" w:hAnsi="Century Gothic"/>
          <w:color w:val="000000"/>
          <w:lang w:val="ca-ES"/>
        </w:rPr>
        <w:t xml:space="preserve">Con la puesta en marcha del servicio MAPA nuestra farmacia puede suministar al médico información de apreciable calidad e interés clínico, que optimice el diagnóstico de la HTA, la evaluación del riesgo cardiovascular de los </w:t>
      </w:r>
      <w:r>
        <w:rPr>
          <w:rFonts w:ascii="Century Gothic" w:hAnsi="Century Gothic"/>
          <w:color w:val="000000"/>
          <w:lang w:val="ca-ES"/>
        </w:rPr>
        <w:lastRenderedPageBreak/>
        <w:t>pacientes, la valoración de la efectividad de los tratamientos y, en definitiva, la toma de decisiones terapéuticas</w:t>
      </w:r>
      <w:r w:rsidR="00316D53" w:rsidRPr="00316D53">
        <w:rPr>
          <w:rFonts w:ascii="Century Gothic" w:hAnsi="Century Gothic"/>
          <w:color w:val="000000"/>
          <w:vertAlign w:val="superscript"/>
          <w:lang w:val="ca-ES"/>
        </w:rPr>
        <w:t>3</w:t>
      </w:r>
      <w:r>
        <w:rPr>
          <w:rFonts w:ascii="Century Gothic" w:hAnsi="Century Gothic"/>
          <w:color w:val="000000"/>
          <w:lang w:val="ca-ES"/>
        </w:rPr>
        <w:t>.</w:t>
      </w:r>
    </w:p>
    <w:p w:rsidR="00A56ADD" w:rsidRDefault="00A56ADD">
      <w:pPr>
        <w:rPr>
          <w:rFonts w:ascii="Century Gothic" w:hAnsi="Century Gothic"/>
          <w:b/>
          <w:color w:val="000000"/>
          <w:lang w:val="ca-ES"/>
        </w:rPr>
      </w:pPr>
      <w:r>
        <w:rPr>
          <w:rFonts w:ascii="Century Gothic" w:hAnsi="Century Gothic"/>
          <w:b/>
          <w:color w:val="000000"/>
          <w:lang w:val="ca-ES"/>
        </w:rPr>
        <w:br w:type="page"/>
      </w:r>
    </w:p>
    <w:p w:rsidR="001A1DF9" w:rsidRPr="00316D53" w:rsidRDefault="00147AAF">
      <w:pPr>
        <w:tabs>
          <w:tab w:val="left" w:pos="5940"/>
        </w:tabs>
        <w:jc w:val="both"/>
        <w:rPr>
          <w:rFonts w:ascii="Century Gothic" w:hAnsi="Century Gothic"/>
          <w:b/>
          <w:color w:val="000000"/>
          <w:lang w:val="ca-ES"/>
        </w:rPr>
      </w:pPr>
      <w:r w:rsidRPr="00316D53">
        <w:rPr>
          <w:rFonts w:ascii="Century Gothic" w:hAnsi="Century Gothic"/>
          <w:b/>
          <w:color w:val="000000"/>
          <w:lang w:val="ca-ES"/>
        </w:rPr>
        <w:lastRenderedPageBreak/>
        <w:t>Bibliografía</w:t>
      </w:r>
    </w:p>
    <w:p w:rsidR="001A1DF9" w:rsidRDefault="00147AAF">
      <w:pPr>
        <w:pStyle w:val="Prrafodelista"/>
        <w:numPr>
          <w:ilvl w:val="0"/>
          <w:numId w:val="1"/>
        </w:numPr>
        <w:tabs>
          <w:tab w:val="left" w:pos="5940"/>
        </w:tabs>
        <w:jc w:val="both"/>
        <w:rPr>
          <w:rFonts w:ascii="Century Gothic" w:hAnsi="Century Gothic"/>
        </w:rPr>
      </w:pPr>
      <w:r>
        <w:rPr>
          <w:rFonts w:ascii="Century Gothic" w:hAnsi="Century Gothic"/>
          <w:i/>
          <w:color w:val="000000"/>
          <w:lang w:val="ca-ES"/>
        </w:rPr>
        <w:t>Vila MA, Dalfó A, Gibert E, Sabartés T. Papel de las oficinas de farmacia en el diagnóstico y seguimiento de la hipertensión arterial. Resultados de una intervención mínima. Hipertensión 1997; 14 (3): 32-38.</w:t>
      </w:r>
    </w:p>
    <w:p w:rsidR="001A1DF9" w:rsidRDefault="00147AAF">
      <w:pPr>
        <w:pStyle w:val="Prrafodelista"/>
        <w:numPr>
          <w:ilvl w:val="0"/>
          <w:numId w:val="1"/>
        </w:numPr>
        <w:tabs>
          <w:tab w:val="left" w:pos="5940"/>
        </w:tabs>
        <w:jc w:val="both"/>
        <w:rPr>
          <w:rFonts w:ascii="Century Gothic" w:hAnsi="Century Gothic"/>
        </w:rPr>
      </w:pPr>
      <w:r>
        <w:rPr>
          <w:rFonts w:ascii="Century Gothic" w:hAnsi="Century Gothic"/>
          <w:i/>
        </w:rPr>
        <w:t>Divisón JA, Artigao LM, Sanchis C, Álvarez F, Carbayo J, Carrión L, Martínez-Navarro E. ¿Se puede o debe medir la presión arterial en las oficinas de farmacia?. Aten Primaria 2001; 28: 4-9.</w:t>
      </w:r>
    </w:p>
    <w:p w:rsidR="001A1DF9" w:rsidRDefault="00147AAF">
      <w:pPr>
        <w:pStyle w:val="Prrafodelista"/>
        <w:numPr>
          <w:ilvl w:val="0"/>
          <w:numId w:val="1"/>
        </w:numPr>
        <w:tabs>
          <w:tab w:val="left" w:pos="5940"/>
        </w:tabs>
        <w:jc w:val="both"/>
        <w:rPr>
          <w:rFonts w:ascii="Century Gothic" w:hAnsi="Century Gothic"/>
        </w:rPr>
      </w:pPr>
      <w:r>
        <w:rPr>
          <w:rFonts w:ascii="Century Gothic" w:hAnsi="Century Gothic"/>
          <w:i/>
          <w:color w:val="000000"/>
        </w:rPr>
        <w:t>Sabater-Hernández D, De la Sierra A, Bellver-Monzó O, Divisón JA, Gorostidi M, Perseguer-Torregrosa Z et al. Guía de actuación para el farmacéutico comunitario en pacientes con hipertensión arterial y riesgo cardiovascular. Documento de consenso (versión resumida). Pharm Care Esp 2011; 13: 134-148.</w:t>
      </w:r>
    </w:p>
    <w:p w:rsidR="001A1DF9" w:rsidRDefault="00147AAF">
      <w:pPr>
        <w:pStyle w:val="Prrafodelista"/>
        <w:numPr>
          <w:ilvl w:val="0"/>
          <w:numId w:val="1"/>
        </w:numPr>
        <w:tabs>
          <w:tab w:val="left" w:pos="5940"/>
        </w:tabs>
        <w:jc w:val="both"/>
        <w:rPr>
          <w:rFonts w:ascii="Century Gothic" w:hAnsi="Century Gothic"/>
        </w:rPr>
      </w:pPr>
      <w:r>
        <w:rPr>
          <w:rFonts w:ascii="Century Gothic" w:hAnsi="Century Gothic"/>
          <w:i/>
        </w:rPr>
        <w:t>Álvarez de Toledo F, Aldasoro MP, Rozas E, Fernández S. La toma de la tensión arterial en la farmacia comunitaria: un servicio orientado a la Atención Farmacéutica. PharmCareEsp 2004; 6: 66-70.</w:t>
      </w:r>
    </w:p>
    <w:p w:rsidR="001A1DF9" w:rsidRPr="006824A7" w:rsidRDefault="00147AAF">
      <w:pPr>
        <w:pStyle w:val="Prrafodelista"/>
        <w:numPr>
          <w:ilvl w:val="0"/>
          <w:numId w:val="1"/>
        </w:numPr>
        <w:tabs>
          <w:tab w:val="left" w:pos="5940"/>
        </w:tabs>
        <w:jc w:val="both"/>
        <w:rPr>
          <w:rFonts w:ascii="Century Gothic" w:hAnsi="Century Gothic"/>
          <w:lang w:val="en-US"/>
        </w:rPr>
      </w:pPr>
      <w:r>
        <w:rPr>
          <w:rFonts w:ascii="Century Gothic" w:hAnsi="Century Gothic"/>
          <w:i/>
        </w:rPr>
        <w:t xml:space="preserve">Guías NICE para el manejo de la HTA. </w:t>
      </w:r>
      <w:r>
        <w:rPr>
          <w:rFonts w:ascii="Century Gothic" w:hAnsi="Century Gothic"/>
          <w:i/>
          <w:lang w:val="en-US"/>
        </w:rPr>
        <w:t>National Institute for Healh and Clinical Excellence (NICE).Hypertension. The</w:t>
      </w:r>
      <w:r w:rsidR="006824A7">
        <w:rPr>
          <w:rFonts w:ascii="Century Gothic" w:hAnsi="Century Gothic"/>
          <w:i/>
          <w:lang w:val="en-US"/>
        </w:rPr>
        <w:t xml:space="preserve"> </w:t>
      </w:r>
      <w:r>
        <w:rPr>
          <w:rFonts w:ascii="Century Gothic" w:hAnsi="Century Gothic"/>
          <w:i/>
          <w:lang w:val="en-US"/>
        </w:rPr>
        <w:t>clinical</w:t>
      </w:r>
      <w:r w:rsidR="006824A7">
        <w:rPr>
          <w:rFonts w:ascii="Century Gothic" w:hAnsi="Century Gothic"/>
          <w:i/>
          <w:lang w:val="en-US"/>
        </w:rPr>
        <w:t xml:space="preserve"> </w:t>
      </w:r>
      <w:r>
        <w:rPr>
          <w:rFonts w:ascii="Century Gothic" w:hAnsi="Century Gothic"/>
          <w:i/>
          <w:lang w:val="en-US"/>
        </w:rPr>
        <w:t>management of primary</w:t>
      </w:r>
      <w:r w:rsidR="006824A7">
        <w:rPr>
          <w:rFonts w:ascii="Century Gothic" w:hAnsi="Century Gothic"/>
          <w:i/>
          <w:lang w:val="en-US"/>
        </w:rPr>
        <w:t xml:space="preserve"> </w:t>
      </w:r>
      <w:r>
        <w:rPr>
          <w:rFonts w:ascii="Century Gothic" w:hAnsi="Century Gothic"/>
          <w:i/>
          <w:lang w:val="en-US"/>
        </w:rPr>
        <w:t xml:space="preserve">hypertension in adults. </w:t>
      </w:r>
      <w:r w:rsidRPr="006824A7">
        <w:rPr>
          <w:rFonts w:ascii="Century Gothic" w:hAnsi="Century Gothic"/>
          <w:i/>
          <w:lang w:val="en-US"/>
        </w:rPr>
        <w:t>Clinical</w:t>
      </w:r>
      <w:r w:rsidR="006824A7">
        <w:rPr>
          <w:rFonts w:ascii="Century Gothic" w:hAnsi="Century Gothic"/>
          <w:i/>
          <w:lang w:val="en-US"/>
        </w:rPr>
        <w:t xml:space="preserve"> </w:t>
      </w:r>
      <w:r w:rsidRPr="006824A7">
        <w:rPr>
          <w:rFonts w:ascii="Century Gothic" w:hAnsi="Century Gothic"/>
          <w:i/>
          <w:lang w:val="en-US"/>
        </w:rPr>
        <w:t xml:space="preserve">Guideline 127. 2011. </w:t>
      </w:r>
      <w:hyperlink r:id="rId7" w:history="1">
        <w:r w:rsidRPr="006824A7">
          <w:rPr>
            <w:rStyle w:val="Hipervnculo"/>
            <w:rFonts w:ascii="Century Gothic" w:hAnsi="Century Gothic"/>
            <w:i/>
            <w:lang w:val="en-US"/>
          </w:rPr>
          <w:t>www.nice.org.uk/guidance/cg127</w:t>
        </w:r>
      </w:hyperlink>
      <w:r w:rsidRPr="006824A7">
        <w:rPr>
          <w:rFonts w:ascii="Century Gothic" w:hAnsi="Century Gothic"/>
          <w:i/>
          <w:lang w:val="en-US"/>
        </w:rPr>
        <w:t>.</w:t>
      </w:r>
    </w:p>
    <w:p w:rsidR="001A1DF9" w:rsidRDefault="00147AAF">
      <w:pPr>
        <w:pStyle w:val="Prrafodelista"/>
        <w:numPr>
          <w:ilvl w:val="0"/>
          <w:numId w:val="1"/>
        </w:numPr>
        <w:tabs>
          <w:tab w:val="left" w:pos="5940"/>
        </w:tabs>
        <w:jc w:val="both"/>
        <w:rPr>
          <w:rFonts w:ascii="Century Gothic" w:hAnsi="Century Gothic"/>
        </w:rPr>
      </w:pPr>
      <w:r>
        <w:rPr>
          <w:rFonts w:ascii="Century Gothic" w:hAnsi="Century Gothic"/>
          <w:i/>
          <w:lang w:val="es-ES"/>
        </w:rPr>
        <w:t>Sabater-Hernández D, Fikri-Benbrahim O, Faus MJ. Utilidad de la monitorización ambulatoria de la presión arterial en la toma de decisiones clínicas. Med Clin (Barc) 2010; 135 (1): 23-29.</w:t>
      </w:r>
    </w:p>
    <w:p w:rsidR="001A1DF9" w:rsidRDefault="00147AAF" w:rsidP="00316D53">
      <w:pPr>
        <w:pStyle w:val="Prrafodelista"/>
        <w:numPr>
          <w:ilvl w:val="0"/>
          <w:numId w:val="1"/>
        </w:numPr>
        <w:tabs>
          <w:tab w:val="left" w:pos="5940"/>
        </w:tabs>
        <w:jc w:val="both"/>
        <w:rPr>
          <w:rFonts w:ascii="Century Gothic" w:hAnsi="Century Gothic"/>
          <w:color w:val="000000"/>
        </w:rPr>
      </w:pPr>
      <w:r w:rsidRPr="00316D53">
        <w:rPr>
          <w:rFonts w:ascii="Century Gothic" w:hAnsi="Century Gothic"/>
          <w:i/>
          <w:color w:val="000000"/>
        </w:rPr>
        <w:t>Penín O, Villasuso B. Medida de la presión arterial en la farmacia comunitaria: papel del farmacéutico en el cribado, seguimiento y diagnóstico de la hipertensión arterial. Aula de la Farmacia 2015; 11(107): 26-30</w:t>
      </w:r>
      <w:r w:rsidR="00316D53" w:rsidRPr="00316D53">
        <w:rPr>
          <w:rFonts w:ascii="Century Gothic" w:hAnsi="Century Gothic"/>
          <w:i/>
          <w:color w:val="000000"/>
        </w:rPr>
        <w:t>.</w:t>
      </w:r>
    </w:p>
    <w:sectPr w:rsidR="001A1DF9" w:rsidSect="001A1DF9">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60" w:rsidRDefault="00EE6B60" w:rsidP="006A0C2F">
      <w:pPr>
        <w:spacing w:after="0" w:line="240" w:lineRule="auto"/>
      </w:pPr>
      <w:r>
        <w:separator/>
      </w:r>
    </w:p>
  </w:endnote>
  <w:endnote w:type="continuationSeparator" w:id="1">
    <w:p w:rsidR="00EE6B60" w:rsidRDefault="00EE6B60" w:rsidP="006A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495"/>
      <w:docPartObj>
        <w:docPartGallery w:val="Page Numbers (Bottom of Page)"/>
        <w:docPartUnique/>
      </w:docPartObj>
    </w:sdtPr>
    <w:sdtContent>
      <w:p w:rsidR="006A0C2F" w:rsidRDefault="006A0C2F">
        <w:pPr>
          <w:pStyle w:val="Piedepgina"/>
          <w:jc w:val="right"/>
        </w:pPr>
        <w:fldSimple w:instr=" PAGE   \* MERGEFORMAT ">
          <w:r w:rsidR="00F72339">
            <w:rPr>
              <w:noProof/>
            </w:rPr>
            <w:t>8</w:t>
          </w:r>
        </w:fldSimple>
      </w:p>
    </w:sdtContent>
  </w:sdt>
  <w:p w:rsidR="006A0C2F" w:rsidRDefault="006A0C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60" w:rsidRDefault="00EE6B60" w:rsidP="006A0C2F">
      <w:pPr>
        <w:spacing w:after="0" w:line="240" w:lineRule="auto"/>
      </w:pPr>
      <w:r>
        <w:separator/>
      </w:r>
    </w:p>
  </w:footnote>
  <w:footnote w:type="continuationSeparator" w:id="1">
    <w:p w:rsidR="00EE6B60" w:rsidRDefault="00EE6B60" w:rsidP="006A0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92D"/>
    <w:multiLevelType w:val="hybridMultilevel"/>
    <w:tmpl w:val="CD28F4E4"/>
    <w:lvl w:ilvl="0" w:tplc="AF305724">
      <w:start w:val="1"/>
      <w:numFmt w:val="decimal"/>
      <w:lvlText w:val="%1."/>
      <w:lvlJc w:val="left"/>
      <w:pPr>
        <w:ind w:left="720" w:hanging="360"/>
      </w:pPr>
    </w:lvl>
    <w:lvl w:ilvl="1" w:tplc="638EA438">
      <w:start w:val="1"/>
      <w:numFmt w:val="lowerLetter"/>
      <w:lvlText w:val="%2."/>
      <w:lvlJc w:val="left"/>
      <w:pPr>
        <w:ind w:left="1440" w:hanging="360"/>
      </w:pPr>
    </w:lvl>
    <w:lvl w:ilvl="2" w:tplc="6EB6CF2A">
      <w:start w:val="1"/>
      <w:numFmt w:val="lowerRoman"/>
      <w:lvlText w:val="%3."/>
      <w:lvlJc w:val="right"/>
      <w:pPr>
        <w:ind w:left="2160" w:hanging="180"/>
      </w:pPr>
    </w:lvl>
    <w:lvl w:ilvl="3" w:tplc="097AD908">
      <w:start w:val="1"/>
      <w:numFmt w:val="decimal"/>
      <w:lvlText w:val="%4."/>
      <w:lvlJc w:val="left"/>
      <w:pPr>
        <w:ind w:left="2880" w:hanging="360"/>
      </w:pPr>
    </w:lvl>
    <w:lvl w:ilvl="4" w:tplc="C6C4CAE6">
      <w:start w:val="1"/>
      <w:numFmt w:val="lowerLetter"/>
      <w:lvlText w:val="%5."/>
      <w:lvlJc w:val="left"/>
      <w:pPr>
        <w:ind w:left="3600" w:hanging="360"/>
      </w:pPr>
    </w:lvl>
    <w:lvl w:ilvl="5" w:tplc="88DA8BAE">
      <w:start w:val="1"/>
      <w:numFmt w:val="lowerRoman"/>
      <w:lvlText w:val="%6."/>
      <w:lvlJc w:val="right"/>
      <w:pPr>
        <w:ind w:left="4320" w:hanging="180"/>
      </w:pPr>
    </w:lvl>
    <w:lvl w:ilvl="6" w:tplc="321EEE60">
      <w:start w:val="1"/>
      <w:numFmt w:val="decimal"/>
      <w:lvlText w:val="%7."/>
      <w:lvlJc w:val="left"/>
      <w:pPr>
        <w:ind w:left="5040" w:hanging="360"/>
      </w:pPr>
    </w:lvl>
    <w:lvl w:ilvl="7" w:tplc="81144EC2">
      <w:start w:val="1"/>
      <w:numFmt w:val="lowerLetter"/>
      <w:lvlText w:val="%8."/>
      <w:lvlJc w:val="left"/>
      <w:pPr>
        <w:ind w:left="5760" w:hanging="360"/>
      </w:pPr>
    </w:lvl>
    <w:lvl w:ilvl="8" w:tplc="FC086D32">
      <w:start w:val="1"/>
      <w:numFmt w:val="lowerRoman"/>
      <w:lvlText w:val="%9."/>
      <w:lvlJc w:val="right"/>
      <w:pPr>
        <w:ind w:left="6480" w:hanging="180"/>
      </w:pPr>
    </w:lvl>
  </w:abstractNum>
  <w:abstractNum w:abstractNumId="1">
    <w:nsid w:val="53D27867"/>
    <w:multiLevelType w:val="multilevel"/>
    <w:tmpl w:val="91806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6C4F86"/>
    <w:multiLevelType w:val="hybridMultilevel"/>
    <w:tmpl w:val="6428CA92"/>
    <w:lvl w:ilvl="0" w:tplc="843C5764">
      <w:start w:val="1"/>
      <w:numFmt w:val="decimal"/>
      <w:lvlText w:val="%1)"/>
      <w:lvlJc w:val="left"/>
      <w:pPr>
        <w:ind w:left="720" w:hanging="360"/>
      </w:pPr>
    </w:lvl>
    <w:lvl w:ilvl="1" w:tplc="EE92E6A4">
      <w:start w:val="1"/>
      <w:numFmt w:val="lowerLetter"/>
      <w:lvlText w:val="%2."/>
      <w:lvlJc w:val="left"/>
      <w:pPr>
        <w:ind w:left="1440" w:hanging="360"/>
      </w:pPr>
    </w:lvl>
    <w:lvl w:ilvl="2" w:tplc="D85A7E7C">
      <w:start w:val="1"/>
      <w:numFmt w:val="lowerRoman"/>
      <w:lvlText w:val="%3."/>
      <w:lvlJc w:val="right"/>
      <w:pPr>
        <w:ind w:left="2160" w:hanging="180"/>
      </w:pPr>
    </w:lvl>
    <w:lvl w:ilvl="3" w:tplc="E494C7AA">
      <w:start w:val="1"/>
      <w:numFmt w:val="decimal"/>
      <w:lvlText w:val="%4."/>
      <w:lvlJc w:val="left"/>
      <w:pPr>
        <w:ind w:left="2880" w:hanging="360"/>
      </w:pPr>
    </w:lvl>
    <w:lvl w:ilvl="4" w:tplc="4596DF52">
      <w:start w:val="1"/>
      <w:numFmt w:val="lowerLetter"/>
      <w:lvlText w:val="%5."/>
      <w:lvlJc w:val="left"/>
      <w:pPr>
        <w:ind w:left="3600" w:hanging="360"/>
      </w:pPr>
    </w:lvl>
    <w:lvl w:ilvl="5" w:tplc="0CE4F442">
      <w:start w:val="1"/>
      <w:numFmt w:val="lowerRoman"/>
      <w:lvlText w:val="%6."/>
      <w:lvlJc w:val="right"/>
      <w:pPr>
        <w:ind w:left="4320" w:hanging="180"/>
      </w:pPr>
    </w:lvl>
    <w:lvl w:ilvl="6" w:tplc="15523FB0">
      <w:start w:val="1"/>
      <w:numFmt w:val="decimal"/>
      <w:lvlText w:val="%7."/>
      <w:lvlJc w:val="left"/>
      <w:pPr>
        <w:ind w:left="5040" w:hanging="360"/>
      </w:pPr>
    </w:lvl>
    <w:lvl w:ilvl="7" w:tplc="A77A5EB6">
      <w:start w:val="1"/>
      <w:numFmt w:val="lowerLetter"/>
      <w:lvlText w:val="%8."/>
      <w:lvlJc w:val="left"/>
      <w:pPr>
        <w:ind w:left="5760" w:hanging="360"/>
      </w:pPr>
    </w:lvl>
    <w:lvl w:ilvl="8" w:tplc="D9AC2612">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hideGrammaticalErrors/>
  <w:defaultTabStop w:val="708"/>
  <w:hyphenationZone w:val="425"/>
  <w:characterSpacingControl w:val="doNotCompress"/>
  <w:footnotePr>
    <w:footnote w:id="0"/>
    <w:footnote w:id="1"/>
  </w:footnotePr>
  <w:endnotePr>
    <w:endnote w:id="0"/>
    <w:endnote w:id="1"/>
  </w:endnotePr>
  <w:compat/>
  <w:rsids>
    <w:rsidRoot w:val="00774D47"/>
    <w:rsid w:val="00004CBC"/>
    <w:rsid w:val="00044569"/>
    <w:rsid w:val="0006612D"/>
    <w:rsid w:val="00070A44"/>
    <w:rsid w:val="00083167"/>
    <w:rsid w:val="000A6449"/>
    <w:rsid w:val="000C5A7A"/>
    <w:rsid w:val="000D3F8C"/>
    <w:rsid w:val="000E3C33"/>
    <w:rsid w:val="001450AC"/>
    <w:rsid w:val="00147AAF"/>
    <w:rsid w:val="00181CBC"/>
    <w:rsid w:val="001A1DF9"/>
    <w:rsid w:val="001B5E9F"/>
    <w:rsid w:val="001F0537"/>
    <w:rsid w:val="00210A1C"/>
    <w:rsid w:val="00210BC5"/>
    <w:rsid w:val="00215514"/>
    <w:rsid w:val="002206EB"/>
    <w:rsid w:val="00294F11"/>
    <w:rsid w:val="002D18A8"/>
    <w:rsid w:val="002F1817"/>
    <w:rsid w:val="00316D53"/>
    <w:rsid w:val="00360CE9"/>
    <w:rsid w:val="00377A3A"/>
    <w:rsid w:val="003918B3"/>
    <w:rsid w:val="003B15E1"/>
    <w:rsid w:val="003D4234"/>
    <w:rsid w:val="00422D05"/>
    <w:rsid w:val="0044548A"/>
    <w:rsid w:val="004521C2"/>
    <w:rsid w:val="0046378F"/>
    <w:rsid w:val="00487F9B"/>
    <w:rsid w:val="004A6D2F"/>
    <w:rsid w:val="00502E59"/>
    <w:rsid w:val="0052346F"/>
    <w:rsid w:val="00545078"/>
    <w:rsid w:val="005661E6"/>
    <w:rsid w:val="005D5B74"/>
    <w:rsid w:val="005E34A3"/>
    <w:rsid w:val="005F7CCA"/>
    <w:rsid w:val="0061154A"/>
    <w:rsid w:val="00660AD6"/>
    <w:rsid w:val="00664395"/>
    <w:rsid w:val="006824A7"/>
    <w:rsid w:val="0069208C"/>
    <w:rsid w:val="00692DE4"/>
    <w:rsid w:val="00695B3A"/>
    <w:rsid w:val="006A0C2F"/>
    <w:rsid w:val="006D05FA"/>
    <w:rsid w:val="006D06D9"/>
    <w:rsid w:val="00714285"/>
    <w:rsid w:val="00726328"/>
    <w:rsid w:val="0077223D"/>
    <w:rsid w:val="00774D47"/>
    <w:rsid w:val="007A23F6"/>
    <w:rsid w:val="007D1CF4"/>
    <w:rsid w:val="007D6CC9"/>
    <w:rsid w:val="00803920"/>
    <w:rsid w:val="00836B04"/>
    <w:rsid w:val="00843E6D"/>
    <w:rsid w:val="008878A2"/>
    <w:rsid w:val="008B33F9"/>
    <w:rsid w:val="0097753A"/>
    <w:rsid w:val="00985E90"/>
    <w:rsid w:val="009B7916"/>
    <w:rsid w:val="009D4CF7"/>
    <w:rsid w:val="009E4358"/>
    <w:rsid w:val="00A40615"/>
    <w:rsid w:val="00A56ADD"/>
    <w:rsid w:val="00A621A9"/>
    <w:rsid w:val="00AA5175"/>
    <w:rsid w:val="00AB163B"/>
    <w:rsid w:val="00B20A4B"/>
    <w:rsid w:val="00B8531F"/>
    <w:rsid w:val="00B910A4"/>
    <w:rsid w:val="00BA5730"/>
    <w:rsid w:val="00BA6C1E"/>
    <w:rsid w:val="00C01B82"/>
    <w:rsid w:val="00C053B6"/>
    <w:rsid w:val="00C20475"/>
    <w:rsid w:val="00C22D42"/>
    <w:rsid w:val="00C30AAB"/>
    <w:rsid w:val="00CA6785"/>
    <w:rsid w:val="00CB1256"/>
    <w:rsid w:val="00CE55E0"/>
    <w:rsid w:val="00D10EAA"/>
    <w:rsid w:val="00E05B1A"/>
    <w:rsid w:val="00E31022"/>
    <w:rsid w:val="00E33D9D"/>
    <w:rsid w:val="00EC319B"/>
    <w:rsid w:val="00EE6B60"/>
    <w:rsid w:val="00F72339"/>
    <w:rsid w:val="00FD79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C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4D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D47"/>
    <w:rPr>
      <w:rFonts w:ascii="Tahoma" w:hAnsi="Tahoma" w:cs="Tahoma"/>
      <w:sz w:val="16"/>
      <w:szCs w:val="16"/>
    </w:rPr>
  </w:style>
  <w:style w:type="paragraph" w:styleId="Prrafodelista">
    <w:name w:val="List Paragraph"/>
    <w:basedOn w:val="Normal"/>
    <w:uiPriority w:val="34"/>
    <w:qFormat/>
    <w:rsid w:val="00E31022"/>
    <w:pPr>
      <w:ind w:left="720"/>
      <w:contextualSpacing/>
    </w:pPr>
  </w:style>
  <w:style w:type="character" w:styleId="Hipervnculo">
    <w:name w:val="Hyperlink"/>
    <w:basedOn w:val="Fuentedeprrafopredeter"/>
    <w:uiPriority w:val="99"/>
    <w:unhideWhenUsed/>
    <w:rsid w:val="00C30AAB"/>
    <w:rPr>
      <w:color w:val="0000FF" w:themeColor="hyperlink"/>
      <w:u w:val="single"/>
    </w:rPr>
  </w:style>
  <w:style w:type="character" w:customStyle="1" w:styleId="apple-converted-space">
    <w:name w:val="apple-converted-space"/>
    <w:basedOn w:val="Fuentedeprrafopredeter"/>
    <w:rsid w:val="00EC319B"/>
  </w:style>
  <w:style w:type="character" w:styleId="Textoennegrita">
    <w:name w:val="Strong"/>
    <w:basedOn w:val="Fuentedeprrafopredeter"/>
    <w:uiPriority w:val="22"/>
    <w:qFormat/>
    <w:rsid w:val="00EC319B"/>
    <w:rPr>
      <w:b/>
      <w:bCs/>
    </w:rPr>
  </w:style>
  <w:style w:type="paragraph" w:styleId="Encabezado">
    <w:name w:val="header"/>
    <w:basedOn w:val="Normal"/>
    <w:link w:val="EncabezadoCar"/>
    <w:uiPriority w:val="99"/>
    <w:semiHidden/>
    <w:unhideWhenUsed/>
    <w:rsid w:val="006A0C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A0C2F"/>
  </w:style>
  <w:style w:type="paragraph" w:styleId="Piedepgina">
    <w:name w:val="footer"/>
    <w:basedOn w:val="Normal"/>
    <w:link w:val="PiedepginaCar"/>
    <w:uiPriority w:val="99"/>
    <w:unhideWhenUsed/>
    <w:rsid w:val="006A0C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8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ice.org.uk/guidance/cg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1665</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Farma2</dc:creator>
  <cp:lastModifiedBy>Usuario de Windows</cp:lastModifiedBy>
  <cp:revision>2</cp:revision>
  <dcterms:created xsi:type="dcterms:W3CDTF">2016-06-27T15:52:00Z</dcterms:created>
  <dcterms:modified xsi:type="dcterms:W3CDTF">2016-06-27T15:52:00Z</dcterms:modified>
</cp:coreProperties>
</file>